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57DE4" w:rsidR="00257DE4" w:rsidP="00257DE4" w:rsidRDefault="00257DE4">
      <w:pPr>
        <w:rPr>
          <w:vanish/>
        </w:rPr>
      </w:pPr>
    </w:p>
    <w:tbl>
      <w:tblPr>
        <w:tblW w:w="14516" w:type="dxa"/>
        <w:tblLayout w:type="fixed"/>
        <w:tblCellMar>
          <w:left w:w="0" w:type="dxa"/>
          <w:right w:w="0" w:type="dxa"/>
        </w:tblCellMar>
        <w:tblLook w:val="0000" w:firstRow="0" w:lastRow="0" w:firstColumn="0" w:lastColumn="0" w:noHBand="0" w:noVBand="0"/>
      </w:tblPr>
      <w:tblGrid>
        <w:gridCol w:w="7258"/>
        <w:gridCol w:w="7258"/>
      </w:tblGrid>
      <w:tr w:rsidR="006F6C21" w:rsidTr="006F6C21">
        <w:trPr>
          <w:cantSplit/>
          <w:trHeight w:val="2692" w:hRule="exact"/>
        </w:trPr>
        <w:tc>
          <w:tcPr>
            <w:tcW w:w="7258" w:type="dxa"/>
          </w:tcPr>
          <w:p w:rsidR="006F6C21" w:rsidP="00677AF1" w:rsidRDefault="00EC2E79">
            <w:bookmarkStart w:name="_GoBack" w:id="0"/>
            <w:bookmarkEnd w:id="0"/>
            <w:r>
              <w:t>Frederikssund Spildevand A/S</w:t>
            </w:r>
          </w:p>
          <w:p w:rsidR="00EC2E79" w:rsidRDefault="00EC2E79">
            <w:r>
              <w:t>Att.: Jørgen Skaarup</w:t>
            </w:r>
          </w:p>
          <w:p w:rsidR="00EC2E79" w:rsidRDefault="00EC2E79">
            <w:r>
              <w:t>Marbækvej 2</w:t>
            </w:r>
          </w:p>
          <w:p w:rsidR="00EC2E79" w:rsidRDefault="00EC2E79">
            <w:r>
              <w:t>3600 Frederikssund</w:t>
            </w:r>
          </w:p>
          <w:p w:rsidR="006F6C21" w:rsidRDefault="006F6C21"/>
          <w:p w:rsidR="006F6C21" w:rsidRDefault="006F6C21"/>
        </w:tc>
        <w:tc>
          <w:tcPr>
            <w:tcW w:w="7258" w:type="dxa"/>
          </w:tcPr>
          <w:p w:rsidRPr="008A7EA7" w:rsidR="006F6C21" w:rsidRDefault="006F6C21">
            <w:pPr>
              <w:rPr>
                <w:highlight w:val="yellow"/>
              </w:rPr>
            </w:pPr>
            <w:r>
              <w:rPr>
                <w:highlight w:val="yellow"/>
              </w:rPr>
              <w:t xml:space="preserve">  </w:t>
            </w:r>
          </w:p>
        </w:tc>
      </w:tr>
    </w:tbl>
    <w:tbl>
      <w:tblPr>
        <w:tblpPr w:leftFromText="141" w:rightFromText="141" w:vertAnchor="page" w:horzAnchor="page" w:tblpX="8722" w:tblpY="2168"/>
        <w:tblW w:w="0" w:type="auto"/>
        <w:tblLayout w:type="fixed"/>
        <w:tblCellMar>
          <w:left w:w="70" w:type="dxa"/>
          <w:right w:w="70" w:type="dxa"/>
        </w:tblCellMar>
        <w:tblLook w:val="0000" w:firstRow="0" w:lastRow="0" w:firstColumn="0" w:lastColumn="0" w:noHBand="0" w:noVBand="0"/>
      </w:tblPr>
      <w:tblGrid>
        <w:gridCol w:w="2784"/>
      </w:tblGrid>
      <w:tr w:rsidR="006F6C21" w:rsidTr="006F6C21">
        <w:trPr>
          <w:trHeight w:val="13229" w:hRule="exact"/>
        </w:trPr>
        <w:tc>
          <w:tcPr>
            <w:tcW w:w="2784" w:type="dxa"/>
            <w:tcBorders>
              <w:bottom w:val="nil"/>
            </w:tcBorders>
          </w:tcPr>
          <w:p w:rsidR="006F6C21" w:rsidP="006F6C21" w:rsidRDefault="00DB76D3">
            <w:pPr>
              <w:pStyle w:val="datomv"/>
              <w:framePr w:hSpace="0" w:wrap="auto" w:vAnchor="margin" w:xAlign="left" w:yAlign="inline" w:anchorLock="0"/>
              <w:ind w:left="142" w:hanging="142"/>
              <w:rPr>
                <w:rFonts w:ascii="Arial" w:hAnsi="Arial"/>
                <w:sz w:val="16"/>
              </w:rPr>
            </w:pPr>
            <w:r>
              <w:rPr>
                <w:rFonts w:ascii="Arial" w:hAnsi="Arial"/>
                <w:sz w:val="16"/>
              </w:rPr>
              <w:t xml:space="preserve">Den </w:t>
            </w:r>
            <w:r w:rsidR="00A578E8">
              <w:rPr>
                <w:rFonts w:ascii="Arial" w:hAnsi="Arial"/>
                <w:sz w:val="16"/>
              </w:rPr>
              <w:t>7. januar 2014</w:t>
            </w:r>
          </w:p>
          <w:p w:rsidR="006F6C21" w:rsidP="006F6C21" w:rsidRDefault="006F6C21">
            <w:pPr>
              <w:pStyle w:val="datomv"/>
              <w:framePr w:hSpace="0" w:wrap="auto" w:vAnchor="margin" w:xAlign="left" w:yAlign="inline" w:anchorLock="0"/>
              <w:rPr>
                <w:rFonts w:ascii="Arial" w:hAnsi="Arial"/>
                <w:sz w:val="16"/>
              </w:rPr>
            </w:pPr>
            <w:r>
              <w:rPr>
                <w:rFonts w:ascii="Arial" w:hAnsi="Arial"/>
                <w:sz w:val="16"/>
              </w:rPr>
              <w:t xml:space="preserve">Sag nr. </w:t>
            </w:r>
            <w:r>
              <w:rPr>
                <w:rFonts w:ascii="Arial" w:hAnsi="Arial"/>
                <w:noProof/>
                <w:sz w:val="16"/>
              </w:rPr>
              <w:t>13/</w:t>
            </w:r>
            <w:r w:rsidR="00EC2E79">
              <w:rPr>
                <w:rFonts w:ascii="Arial" w:hAnsi="Arial"/>
                <w:noProof/>
                <w:sz w:val="16"/>
              </w:rPr>
              <w:t>04641</w:t>
            </w:r>
            <w:r>
              <w:rPr>
                <w:rFonts w:ascii="Arial" w:hAnsi="Arial"/>
                <w:sz w:val="16"/>
              </w:rPr>
              <w:t xml:space="preserve">  </w:t>
            </w:r>
          </w:p>
          <w:p w:rsidRPr="002F26FD"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r>
              <w:rPr>
                <w:rFonts w:ascii="Arial Black" w:hAnsi="Arial Black"/>
                <w:sz w:val="13"/>
              </w:rPr>
              <w:t>KONKURRENCE- OG FORBRUGERSTYRELSEN</w:t>
            </w:r>
          </w:p>
          <w:p w:rsidR="006F6C21" w:rsidP="006F6C21" w:rsidRDefault="006F6C21">
            <w:pPr>
              <w:pStyle w:val="skakt"/>
              <w:framePr w:w="0" w:hSpace="0" w:wrap="auto" w:hAnchor="text" w:xAlign="left" w:hRule="auto" w:anchorLock="0"/>
              <w:tabs>
                <w:tab w:val="left" w:pos="709"/>
              </w:tabs>
              <w:rPr>
                <w:sz w:val="16"/>
              </w:rPr>
            </w:pPr>
            <w:r>
              <w:rPr>
                <w:sz w:val="16"/>
              </w:rPr>
              <w:t>Carl Jacobsens Vej 35</w:t>
            </w:r>
          </w:p>
          <w:p w:rsidR="006F6C21" w:rsidP="006F6C21" w:rsidRDefault="006F6C21">
            <w:pPr>
              <w:pStyle w:val="skakt"/>
              <w:framePr w:w="0" w:hSpace="0" w:wrap="auto" w:hAnchor="text" w:xAlign="left" w:hRule="auto" w:anchorLock="0"/>
              <w:tabs>
                <w:tab w:val="left" w:pos="709"/>
              </w:tabs>
              <w:rPr>
                <w:sz w:val="16"/>
              </w:rPr>
            </w:pPr>
            <w:r>
              <w:rPr>
                <w:sz w:val="16"/>
              </w:rPr>
              <w:t>2500 Valby</w:t>
            </w:r>
          </w:p>
          <w:p w:rsidR="006F6C21" w:rsidP="006F6C21" w:rsidRDefault="006F6C21">
            <w:pPr>
              <w:pStyle w:val="skakt"/>
              <w:framePr w:w="0" w:hSpace="0" w:wrap="auto" w:hAnchor="text" w:xAlign="left" w:hRule="auto" w:anchorLock="0"/>
              <w:tabs>
                <w:tab w:val="left" w:pos="709"/>
              </w:tabs>
              <w:rPr>
                <w:sz w:val="16"/>
              </w:rPr>
            </w:pPr>
          </w:p>
          <w:p w:rsidR="006F6C21" w:rsidP="006F6C21" w:rsidRDefault="006F6C21">
            <w:pPr>
              <w:pStyle w:val="skakt"/>
              <w:framePr w:w="0" w:hSpace="0" w:wrap="auto" w:hAnchor="text" w:xAlign="left" w:hRule="auto" w:anchorLock="0"/>
              <w:tabs>
                <w:tab w:val="left" w:pos="709"/>
              </w:tabs>
              <w:rPr>
                <w:sz w:val="16"/>
              </w:rPr>
            </w:pPr>
            <w:r>
              <w:rPr>
                <w:sz w:val="16"/>
              </w:rPr>
              <w:t>Tlf.           4171 5000</w:t>
            </w:r>
          </w:p>
          <w:p w:rsidR="006F6C21" w:rsidP="006F6C21" w:rsidRDefault="006F6C21">
            <w:pPr>
              <w:pStyle w:val="skakt"/>
              <w:framePr w:w="0" w:hSpace="0" w:wrap="auto" w:hAnchor="text" w:xAlign="left" w:hRule="auto" w:anchorLock="0"/>
              <w:tabs>
                <w:tab w:val="left" w:pos="709"/>
              </w:tabs>
              <w:rPr>
                <w:sz w:val="16"/>
              </w:rPr>
            </w:pPr>
            <w:r>
              <w:rPr>
                <w:sz w:val="16"/>
              </w:rPr>
              <w:t>Fax</w:t>
            </w:r>
            <w:r>
              <w:rPr>
                <w:sz w:val="16"/>
              </w:rPr>
              <w:tab/>
              <w:t>4171 5100</w:t>
            </w:r>
          </w:p>
          <w:p w:rsidR="006F6C21" w:rsidP="006F6C21" w:rsidRDefault="006F6C21">
            <w:pPr>
              <w:pStyle w:val="skakt"/>
              <w:framePr w:w="0" w:hSpace="0" w:wrap="auto" w:hAnchor="text" w:xAlign="left" w:hRule="auto" w:anchorLock="0"/>
              <w:tabs>
                <w:tab w:val="left" w:pos="709"/>
              </w:tabs>
              <w:rPr>
                <w:sz w:val="16"/>
              </w:rPr>
            </w:pPr>
            <w:r>
              <w:rPr>
                <w:sz w:val="16"/>
              </w:rPr>
              <w:t>CVR-nr.</w:t>
            </w:r>
            <w:r>
              <w:rPr>
                <w:sz w:val="16"/>
              </w:rPr>
              <w:tab/>
              <w:t>10 29 48 19</w:t>
            </w:r>
          </w:p>
          <w:p w:rsidR="006F6C21" w:rsidP="006F6C21" w:rsidRDefault="006F6C21">
            <w:pPr>
              <w:pStyle w:val="skakt"/>
              <w:framePr w:w="0" w:hSpace="0" w:wrap="auto" w:hAnchor="text" w:xAlign="left" w:hRule="auto" w:anchorLock="0"/>
              <w:rPr>
                <w:sz w:val="16"/>
              </w:rPr>
            </w:pPr>
            <w:r>
              <w:rPr>
                <w:sz w:val="16"/>
              </w:rPr>
              <w:t>vand@kfst.dk</w:t>
            </w:r>
          </w:p>
          <w:p w:rsidR="006F6C21" w:rsidP="006F6C21" w:rsidRDefault="006F6C21">
            <w:pPr>
              <w:pStyle w:val="datomv"/>
              <w:framePr w:hSpace="0" w:wrap="auto" w:vAnchor="margin" w:xAlign="left" w:yAlign="inline" w:anchorLock="0"/>
            </w:pPr>
            <w:bookmarkStart w:name="_Hlt10689529" w:id="1"/>
            <w:r>
              <w:rPr>
                <w:rFonts w:ascii="Arial" w:hAnsi="Arial"/>
                <w:sz w:val="16"/>
              </w:rPr>
              <w:t>www.kfst.dk</w:t>
            </w:r>
            <w:bookmarkEnd w:id="1"/>
          </w:p>
          <w:p w:rsidR="006F6C21" w:rsidP="006F6C21" w:rsidRDefault="006F6C21">
            <w:pPr>
              <w:pStyle w:val="datomv"/>
              <w:framePr w:hSpace="0" w:wrap="auto" w:vAnchor="margin" w:xAlign="left" w:yAlign="inline" w:anchorLock="0"/>
              <w:spacing w:line="220" w:lineRule="exact"/>
            </w:pPr>
          </w:p>
          <w:p w:rsidR="006F6C21" w:rsidP="006F6C21" w:rsidRDefault="006F6C21">
            <w:pPr>
              <w:pStyle w:val="datomv"/>
              <w:framePr w:hSpace="0" w:wrap="auto" w:vAnchor="margin" w:xAlign="left" w:yAlign="inline" w:anchorLock="0"/>
            </w:pPr>
          </w:p>
          <w:p w:rsidR="006F6C21" w:rsidP="006F6C21" w:rsidRDefault="006F6C21">
            <w:pPr>
              <w:pStyle w:val="datomv"/>
              <w:framePr w:hSpace="0" w:wrap="auto" w:vAnchor="margin" w:xAlign="left" w:yAlign="inline" w:anchorLock="0"/>
              <w:spacing w:line="220" w:lineRule="exact"/>
              <w:rPr>
                <w:rFonts w:ascii="Arial Black" w:hAnsi="Arial Black"/>
                <w:sz w:val="12"/>
                <w:szCs w:val="12"/>
              </w:rPr>
            </w:pPr>
            <w:r w:rsidRPr="004D4D5B">
              <w:rPr>
                <w:rFonts w:ascii="Arial Black" w:hAnsi="Arial Black"/>
                <w:sz w:val="12"/>
                <w:szCs w:val="12"/>
              </w:rPr>
              <w:t>FORSYNINGSSEKRETARIATET</w:t>
            </w:r>
          </w:p>
          <w:p w:rsidR="006F6C21" w:rsidP="006F6C21" w:rsidRDefault="006F6C21">
            <w:pPr>
              <w:pStyle w:val="datomv"/>
              <w:framePr w:hSpace="0" w:wrap="auto" w:vAnchor="margin" w:xAlign="left" w:yAlign="inline" w:anchorLock="0"/>
              <w:spacing w:line="220" w:lineRule="exact"/>
              <w:rPr>
                <w:rFonts w:ascii="Arial Black" w:hAnsi="Arial Black"/>
                <w:sz w:val="12"/>
                <w:szCs w:val="12"/>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Pr="005D6C6B"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 w:val="16"/>
                <w:szCs w:val="16"/>
              </w:rPr>
            </w:pPr>
            <w:r w:rsidRPr="005D6C6B">
              <w:rPr>
                <w:rFonts w:cs="Arial"/>
                <w:sz w:val="16"/>
                <w:szCs w:val="16"/>
              </w:rPr>
              <w:t xml:space="preserve">Forsyningssekretariatet </w:t>
            </w:r>
          </w:p>
          <w:p w:rsidRPr="005D6C6B"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 w:val="16"/>
                <w:szCs w:val="16"/>
              </w:rPr>
            </w:pPr>
            <w:r w:rsidRPr="005D6C6B">
              <w:rPr>
                <w:rFonts w:cs="Arial"/>
                <w:sz w:val="16"/>
                <w:szCs w:val="16"/>
              </w:rPr>
              <w:t xml:space="preserve">er en del af Konkurrence- </w:t>
            </w:r>
          </w:p>
          <w:p w:rsidRPr="004D4D5B" w:rsidR="006F6C21" w:rsidP="006F6C21" w:rsidRDefault="006F6C21">
            <w:pPr>
              <w:pStyle w:val="datomv"/>
              <w:framePr w:hSpace="0" w:wrap="auto" w:vAnchor="margin" w:xAlign="left" w:yAlign="inline" w:anchorLock="0"/>
              <w:spacing w:line="360" w:lineRule="auto"/>
              <w:rPr>
                <w:rFonts w:ascii="Arial Black" w:hAnsi="Arial Black"/>
                <w:sz w:val="12"/>
                <w:szCs w:val="12"/>
              </w:rPr>
            </w:pPr>
            <w:r w:rsidRPr="005D6C6B">
              <w:rPr>
                <w:rFonts w:ascii="Arial" w:hAnsi="Arial" w:cs="Arial"/>
                <w:sz w:val="16"/>
                <w:szCs w:val="16"/>
              </w:rPr>
              <w:t>og Forbrugerstyrelsen.</w:t>
            </w:r>
          </w:p>
        </w:tc>
      </w:tr>
    </w:tbl>
    <w:p w:rsidR="008A7EA7" w:rsidP="008A7EA7" w:rsidRDefault="006F6C21">
      <w:pPr>
        <w:jc w:val="center"/>
        <w:rPr>
          <w:b/>
          <w:sz w:val="28"/>
          <w:szCs w:val="28"/>
        </w:rPr>
      </w:pPr>
      <w:r>
        <w:rPr>
          <w:b/>
          <w:sz w:val="28"/>
          <w:szCs w:val="28"/>
        </w:rPr>
        <w:t xml:space="preserve"> </w:t>
      </w:r>
    </w:p>
    <w:p w:rsidRPr="008A7EA7" w:rsidR="008A7EA7" w:rsidP="008A7EA7" w:rsidRDefault="008A7EA7">
      <w:pPr>
        <w:jc w:val="center"/>
        <w:rPr>
          <w:b/>
          <w:sz w:val="32"/>
          <w:szCs w:val="32"/>
        </w:rPr>
      </w:pPr>
      <w:r w:rsidRPr="008A7EA7">
        <w:rPr>
          <w:b/>
          <w:sz w:val="32"/>
          <w:szCs w:val="32"/>
        </w:rPr>
        <w:t>Afgørelse om prisloft for 201</w:t>
      </w:r>
      <w:r w:rsidR="006E7961">
        <w:rPr>
          <w:b/>
          <w:sz w:val="32"/>
          <w:szCs w:val="32"/>
        </w:rPr>
        <w:t>4</w:t>
      </w:r>
    </w:p>
    <w:p w:rsidRPr="008A7EA7" w:rsidR="008A7EA7" w:rsidP="008A7EA7" w:rsidRDefault="008A7EA7">
      <w:pPr>
        <w:jc w:val="center"/>
        <w:rPr>
          <w:b/>
          <w:sz w:val="28"/>
          <w:szCs w:val="28"/>
        </w:rPr>
      </w:pPr>
    </w:p>
    <w:p w:rsidR="008A7EA7" w:rsidP="008A7EA7" w:rsidRDefault="008A7EA7"/>
    <w:p w:rsidRPr="008A7EA7" w:rsidR="008A7EA7" w:rsidP="008A7EA7" w:rsidRDefault="008A7EA7">
      <w:pPr>
        <w:pStyle w:val="Overskrift1"/>
        <w:rPr>
          <w:sz w:val="28"/>
          <w:szCs w:val="28"/>
        </w:rPr>
      </w:pPr>
      <w:r w:rsidRPr="008A7EA7">
        <w:rPr>
          <w:sz w:val="28"/>
          <w:szCs w:val="28"/>
        </w:rPr>
        <w:t>Indledning</w:t>
      </w:r>
    </w:p>
    <w:p w:rsidR="008A7EA7" w:rsidP="008A7EA7" w:rsidRDefault="008A7EA7"/>
    <w:p w:rsidRPr="008A7EA7" w:rsidR="00974F48" w:rsidP="00974F48" w:rsidRDefault="00974F48">
      <w:pPr>
        <w:jc w:val="both"/>
      </w:pPr>
      <w:r w:rsidRPr="008A7EA7">
        <w:t>Forsyningssekretariatet fastsætter prislofter for de vand- og spildevands-selskaber, der er omfattet af vand</w:t>
      </w:r>
      <w:r>
        <w:t xml:space="preserve">sektorloven. </w:t>
      </w:r>
      <w:r w:rsidRPr="008A7EA7">
        <w:t>Prisloftet fastsætte</w:t>
      </w:r>
      <w:r>
        <w:t>r</w:t>
      </w:r>
      <w:r w:rsidRPr="008A7EA7">
        <w:t xml:space="preserve"> en ramme for de maksimale indtægter, som vandselskabet må opkræve for selsk</w:t>
      </w:r>
      <w:r>
        <w:t>abets primære aktiviteter. Pris</w:t>
      </w:r>
      <w:r w:rsidRPr="008A7EA7">
        <w:t>loftet udmeldes som en samlet m</w:t>
      </w:r>
      <w:r w:rsidRPr="0014629C">
        <w:rPr>
          <w:vertAlign w:val="superscript"/>
        </w:rPr>
        <w:t>3</w:t>
      </w:r>
      <w:r w:rsidRPr="008A7EA7">
        <w:t>-pris.</w:t>
      </w:r>
    </w:p>
    <w:p w:rsidR="00974F48" w:rsidP="00974F48" w:rsidRDefault="00974F48">
      <w:pPr>
        <w:jc w:val="both"/>
      </w:pPr>
    </w:p>
    <w:p w:rsidRPr="008A7EA7" w:rsidR="00974F48" w:rsidP="00974F48" w:rsidRDefault="00974F48">
      <w:pPr>
        <w:jc w:val="both"/>
      </w:pPr>
      <w:r>
        <w:t>Prisloftet for 2014</w:t>
      </w:r>
      <w:r w:rsidRPr="008A7EA7">
        <w:t xml:space="preserve"> fastsættes med udgangspunkt</w:t>
      </w:r>
      <w:r>
        <w:t xml:space="preserve"> i</w:t>
      </w:r>
      <w:r w:rsidRPr="008A7EA7">
        <w:t xml:space="preserve"> selskabe</w:t>
      </w:r>
      <w:r>
        <w:t>ts almindelige driftsomkostninger</w:t>
      </w:r>
      <w:r w:rsidRPr="008A7EA7">
        <w:t>, so</w:t>
      </w:r>
      <w:r>
        <w:t>m beregnet i prisloftet for 2013</w:t>
      </w:r>
      <w:r w:rsidRPr="008A7EA7">
        <w:t>, og korrigeres med et indeks for omkostningsudviklingen, et generelt og et individuelt effe</w:t>
      </w:r>
      <w:r w:rsidRPr="008A7EA7">
        <w:t>k</w:t>
      </w:r>
      <w:r w:rsidRPr="008A7EA7">
        <w:t xml:space="preserve">tiviseringskrav samt en række budgetterede omkostninger mv. </w:t>
      </w:r>
    </w:p>
    <w:p w:rsidR="00974F48" w:rsidP="00974F48" w:rsidRDefault="00974F48">
      <w:pPr>
        <w:jc w:val="both"/>
      </w:pPr>
    </w:p>
    <w:p w:rsidR="00974F48" w:rsidP="00974F48" w:rsidRDefault="00974F48">
      <w:pPr>
        <w:jc w:val="both"/>
      </w:pPr>
      <w:r>
        <w:t>Herudover korrigeres prisloftet blandt andet for forskelle mellem selsk</w:t>
      </w:r>
      <w:r>
        <w:t>a</w:t>
      </w:r>
      <w:r>
        <w:t xml:space="preserve">bets faktiske indtægter i 2012 og den indtægtsramme, som selskabet fik fastsat i prisloftet for 2012. </w:t>
      </w:r>
    </w:p>
    <w:p w:rsidRPr="008A7EA7" w:rsidR="00294AC3" w:rsidP="008A7EA7" w:rsidRDefault="00294AC3">
      <w:pPr>
        <w:pStyle w:val="Brdtekst"/>
      </w:pPr>
    </w:p>
    <w:p w:rsidR="00294AC3" w:rsidRDefault="00294AC3">
      <w:pPr>
        <w:pStyle w:val="Brdtekst"/>
      </w:pPr>
    </w:p>
    <w:p w:rsidRPr="008A7EA7" w:rsidR="008A7EA7" w:rsidP="008A7EA7" w:rsidRDefault="008A7EA7">
      <w:pPr>
        <w:pStyle w:val="Overskrift1"/>
        <w:rPr>
          <w:sz w:val="28"/>
          <w:szCs w:val="28"/>
        </w:rPr>
      </w:pPr>
      <w:r w:rsidRPr="008A7EA7">
        <w:rPr>
          <w:sz w:val="28"/>
          <w:szCs w:val="28"/>
        </w:rPr>
        <w:t>Afgørelse</w:t>
      </w:r>
    </w:p>
    <w:p w:rsidR="008A7EA7" w:rsidP="008A7EA7" w:rsidRDefault="008A7EA7">
      <w:pPr>
        <w:pStyle w:val="Brdtekst"/>
      </w:pPr>
    </w:p>
    <w:p w:rsidRPr="008A7EA7" w:rsidR="00375E51" w:rsidP="00975F0F" w:rsidRDefault="00375E51">
      <w:pPr>
        <w:jc w:val="both"/>
      </w:pPr>
      <w:r w:rsidRPr="008A7EA7">
        <w:t xml:space="preserve">Forsyningssekretariatet har truffet afgørelse om prisloftet for </w:t>
      </w:r>
      <w:r w:rsidR="00EC2E79">
        <w:t>Frederik</w:t>
      </w:r>
      <w:r w:rsidR="00EC2E79">
        <w:t>s</w:t>
      </w:r>
      <w:r w:rsidR="00EC2E79">
        <w:t xml:space="preserve">sund Spildevand A/S </w:t>
      </w:r>
      <w:r>
        <w:t>gældende for 2014</w:t>
      </w:r>
      <w:r w:rsidRPr="008A7EA7">
        <w:t>.</w:t>
      </w:r>
    </w:p>
    <w:p w:rsidRPr="008A7EA7" w:rsidR="00375E51" w:rsidP="00975F0F" w:rsidRDefault="00375E51">
      <w:pPr>
        <w:jc w:val="both"/>
      </w:pPr>
    </w:p>
    <w:p w:rsidRPr="000A0791" w:rsidR="00375E51" w:rsidP="00975F0F" w:rsidRDefault="00375E51">
      <w:pPr>
        <w:jc w:val="both"/>
        <w:rPr>
          <w:szCs w:val="24"/>
        </w:rPr>
      </w:pPr>
      <w:r w:rsidRPr="00D201C6">
        <w:rPr>
          <w:szCs w:val="24"/>
        </w:rPr>
        <w:t xml:space="preserve">Prisloftet fastsættes til </w:t>
      </w:r>
      <w:r w:rsidRPr="005C0354" w:rsidR="005C4583">
        <w:rPr>
          <w:szCs w:val="24"/>
          <w:highlight w:val="yellow"/>
        </w:rPr>
        <w:fldChar w:fldCharType="begin"/>
      </w:r>
      <w:r w:rsidRPr="005C0354" w:rsidR="005C4583">
        <w:rPr>
          <w:szCs w:val="24"/>
        </w:rPr>
        <w:instrText xml:space="preserve"> REF Prisloft \h </w:instrText>
      </w:r>
      <w:r w:rsidR="005C0354">
        <w:rPr>
          <w:szCs w:val="24"/>
          <w:highlight w:val="yellow"/>
        </w:rPr>
        <w:instrText xml:space="preserve"> \* MERGEFORMAT </w:instrText>
      </w:r>
      <w:r w:rsidRPr="005C0354" w:rsidR="005C4583">
        <w:rPr>
          <w:szCs w:val="24"/>
          <w:highlight w:val="yellow"/>
        </w:rPr>
      </w:r>
      <w:r w:rsidRPr="005C0354" w:rsidR="005C4583">
        <w:rPr>
          <w:szCs w:val="24"/>
          <w:highlight w:val="yellow"/>
        </w:rPr>
        <w:fldChar w:fldCharType="separate"/>
      </w:r>
      <w:r w:rsidRPr="00D93A07" w:rsidR="00D93A07">
        <w:rPr>
          <w:noProof/>
          <w:szCs w:val="24"/>
        </w:rPr>
        <w:t>50,95</w:t>
      </w:r>
      <w:r w:rsidRPr="005C0354" w:rsidR="005C4583">
        <w:rPr>
          <w:szCs w:val="24"/>
          <w:highlight w:val="yellow"/>
        </w:rPr>
        <w:fldChar w:fldCharType="end"/>
      </w:r>
      <w:r w:rsidRPr="00D201C6">
        <w:rPr>
          <w:szCs w:val="24"/>
        </w:rPr>
        <w:t xml:space="preserve"> kr. pr. m</w:t>
      </w:r>
      <w:r w:rsidRPr="00D201C6">
        <w:rPr>
          <w:szCs w:val="24"/>
          <w:vertAlign w:val="superscript"/>
        </w:rPr>
        <w:t>3</w:t>
      </w:r>
      <w:r w:rsidRPr="00D201C6">
        <w:rPr>
          <w:szCs w:val="24"/>
        </w:rPr>
        <w:t>.</w:t>
      </w:r>
    </w:p>
    <w:p w:rsidRPr="008A7EA7" w:rsidR="00375E51" w:rsidP="00975F0F" w:rsidRDefault="00375E51">
      <w:pPr>
        <w:jc w:val="both"/>
      </w:pPr>
    </w:p>
    <w:p w:rsidRPr="008A7EA7" w:rsidR="00375E51" w:rsidP="00975F0F" w:rsidRDefault="00375E51">
      <w:pPr>
        <w:jc w:val="both"/>
      </w:pPr>
      <w:r w:rsidRPr="008A7EA7">
        <w:t>Prisloftet er opgjort inklusiv</w:t>
      </w:r>
      <w:r>
        <w:t>e</w:t>
      </w:r>
      <w:r w:rsidRPr="008A7EA7">
        <w:t xml:space="preserve"> afgifter, men eksklusiv</w:t>
      </w:r>
      <w:r w:rsidR="006E26AE">
        <w:t>e</w:t>
      </w:r>
      <w:r w:rsidRPr="008A7EA7">
        <w:t xml:space="preserve"> moms.</w:t>
      </w:r>
    </w:p>
    <w:p w:rsidRPr="008A7EA7" w:rsidR="00375E51" w:rsidP="00975F0F" w:rsidRDefault="00375E51">
      <w:pPr>
        <w:jc w:val="both"/>
      </w:pPr>
    </w:p>
    <w:p w:rsidRPr="008A7EA7" w:rsidR="00375E51" w:rsidP="00975F0F" w:rsidRDefault="00375E51">
      <w:pPr>
        <w:jc w:val="both"/>
      </w:pPr>
      <w:r w:rsidRPr="008A7EA7">
        <w:t>Afgørelsen er truffet i medfør af vandsektorlovens § 6, stk. 2, hvorefter Forsyningssekretariatet fastsætter pri</w:t>
      </w:r>
      <w:r>
        <w:t>slofter for vand- og spildevands</w:t>
      </w:r>
      <w:r w:rsidRPr="008A7EA7">
        <w:t>se</w:t>
      </w:r>
      <w:r w:rsidRPr="008A7EA7">
        <w:t>l</w:t>
      </w:r>
      <w:r w:rsidRPr="008A7EA7">
        <w:t>skaber, der er omfattet af lovens § 2, stk. 1.</w:t>
      </w:r>
    </w:p>
    <w:p w:rsidRPr="008A7EA7" w:rsidR="008A7EA7" w:rsidP="008A7EA7" w:rsidRDefault="008A7EA7"/>
    <w:p w:rsidRPr="008A7EA7" w:rsidR="008A7EA7" w:rsidP="008A7EA7" w:rsidRDefault="008A7EA7"/>
    <w:p w:rsidR="008A7EA7" w:rsidP="008A7EA7" w:rsidRDefault="008A7EA7"/>
    <w:p w:rsidR="008A7EA7" w:rsidRDefault="008A7EA7">
      <w:pPr>
        <w:pStyle w:val="Brdtekst"/>
      </w:pPr>
    </w:p>
    <w:p w:rsidR="008A7EA7" w:rsidRDefault="008A7EA7">
      <w:pPr>
        <w:pStyle w:val="Brdtekst"/>
      </w:pPr>
    </w:p>
    <w:p w:rsidRPr="008A7EA7" w:rsidR="008A7EA7" w:rsidP="008A7EA7" w:rsidRDefault="008A7EA7">
      <w:pPr>
        <w:pStyle w:val="Overskrift1"/>
        <w:rPr>
          <w:sz w:val="28"/>
          <w:szCs w:val="28"/>
        </w:rPr>
      </w:pPr>
      <w:r w:rsidRPr="008A7EA7">
        <w:rPr>
          <w:sz w:val="28"/>
          <w:szCs w:val="28"/>
        </w:rPr>
        <w:lastRenderedPageBreak/>
        <w:t>Sagsfremstilling</w:t>
      </w:r>
    </w:p>
    <w:p w:rsidR="008A7EA7" w:rsidP="008A7EA7" w:rsidRDefault="008A7EA7">
      <w:pPr>
        <w:jc w:val="both"/>
      </w:pPr>
    </w:p>
    <w:p w:rsidRPr="00BC5FB2" w:rsidR="008A7EA7" w:rsidP="001417F8" w:rsidRDefault="00EC2E79">
      <w:pPr>
        <w:jc w:val="both"/>
      </w:pPr>
      <w:r>
        <w:t>Frederikssund Spildevand A/S</w:t>
      </w:r>
      <w:r w:rsidRPr="00BC5FB2" w:rsidR="008A7EA7">
        <w:t xml:space="preserve"> er et kommunalt ejet forsyningsselskab, som har til formål at servicere mindst 10 ejendomme. Selskab</w:t>
      </w:r>
      <w:r w:rsidR="001417F8">
        <w:t>et er derfor i henhold til vand</w:t>
      </w:r>
      <w:r w:rsidRPr="00BC5FB2" w:rsidR="008A7EA7">
        <w:t>sektorlovens § 2, stk. 1, omf</w:t>
      </w:r>
      <w:r w:rsidR="00E8384D">
        <w:t>attet af prisloftreguleri</w:t>
      </w:r>
      <w:r w:rsidR="00E8384D">
        <w:t>n</w:t>
      </w:r>
      <w:r w:rsidR="00E8384D">
        <w:t>gen.</w:t>
      </w:r>
    </w:p>
    <w:p w:rsidRPr="00BC5FB2" w:rsidR="008A7EA7" w:rsidP="008A7EA7" w:rsidRDefault="008A7EA7">
      <w:pPr>
        <w:jc w:val="both"/>
      </w:pPr>
    </w:p>
    <w:p w:rsidR="008A7EA7" w:rsidP="008A7EA7" w:rsidRDefault="008A7EA7">
      <w:pPr>
        <w:jc w:val="both"/>
      </w:pPr>
      <w:r>
        <w:t>Efter prisloftbekendtgørelsen skulle selskab</w:t>
      </w:r>
      <w:r w:rsidR="00643141">
        <w:t>e</w:t>
      </w:r>
      <w:r w:rsidR="00375E51">
        <w:t>t</w:t>
      </w:r>
      <w:r w:rsidR="00643141">
        <w:t xml:space="preserve"> senest den 15. april 201</w:t>
      </w:r>
      <w:r w:rsidR="006E7961">
        <w:t>3</w:t>
      </w:r>
      <w:r>
        <w:t xml:space="preserve"> indberette en række oplysninger til brug for fastsættelsen af prisl</w:t>
      </w:r>
      <w:r w:rsidR="00643141">
        <w:t>oftet for 201</w:t>
      </w:r>
      <w:r w:rsidR="006E7961">
        <w:t>4</w:t>
      </w:r>
      <w:r w:rsidR="00643141">
        <w:t>, jf. § 18, stk. 1</w:t>
      </w:r>
      <w:r>
        <w:t xml:space="preserve">. </w:t>
      </w:r>
    </w:p>
    <w:p w:rsidR="008A7EA7" w:rsidP="008A7EA7" w:rsidRDefault="008A7EA7">
      <w:pPr>
        <w:jc w:val="both"/>
      </w:pPr>
    </w:p>
    <w:p w:rsidR="008A7EA7" w:rsidP="008A7EA7" w:rsidRDefault="008A7EA7">
      <w:pPr>
        <w:jc w:val="both"/>
      </w:pPr>
      <w:r>
        <w:t xml:space="preserve">Udkastet til afgørelsen blev sendt i høring den </w:t>
      </w:r>
      <w:r w:rsidR="00A95BC6">
        <w:t>16. august</w:t>
      </w:r>
      <w:r>
        <w:t xml:space="preserve"> 201</w:t>
      </w:r>
      <w:r w:rsidR="006E7961">
        <w:t>3</w:t>
      </w:r>
      <w:r>
        <w:t xml:space="preserve"> med </w:t>
      </w:r>
      <w:r w:rsidR="00375E51">
        <w:t>to</w:t>
      </w:r>
      <w:r>
        <w:t xml:space="preserve"> uge</w:t>
      </w:r>
      <w:r w:rsidR="0081586A">
        <w:t>r</w:t>
      </w:r>
      <w:r>
        <w:t xml:space="preserve">s høringsfrist. </w:t>
      </w:r>
    </w:p>
    <w:p w:rsidR="008A7EA7" w:rsidP="008A7EA7" w:rsidRDefault="008A7EA7">
      <w:pPr>
        <w:pStyle w:val="Brdtekst"/>
      </w:pPr>
    </w:p>
    <w:p w:rsidR="00975F0F" w:rsidP="00975F0F" w:rsidRDefault="00975F0F">
      <w:pPr>
        <w:jc w:val="both"/>
      </w:pPr>
      <w:r>
        <w:t>Selskabet har afgivet høringssvar inden for fristen samt supplerende h</w:t>
      </w:r>
      <w:r>
        <w:t>ø</w:t>
      </w:r>
      <w:r>
        <w:t>ringssvar af 25. september 2013. I det omfang Forsyningssekretariatet ikke umiddelbart har taget selskabets bemærkninger til efterretning i a</w:t>
      </w:r>
      <w:r>
        <w:t>f</w:t>
      </w:r>
      <w:r>
        <w:t xml:space="preserve">gørelsen, fremgår dette under de enkelte afsnit i begrundelsen.                                                 </w:t>
      </w:r>
    </w:p>
    <w:p w:rsidR="00975F0F" w:rsidP="00975F0F" w:rsidRDefault="00975F0F">
      <w:pPr>
        <w:jc w:val="both"/>
      </w:pPr>
    </w:p>
    <w:p w:rsidR="00975F0F" w:rsidP="00975F0F" w:rsidRDefault="00975F0F">
      <w:pPr>
        <w:jc w:val="both"/>
      </w:pPr>
      <w:r>
        <w:t>Eventuelle andre ændringer er alene af sproglig/grammatisk karakter e</w:t>
      </w:r>
      <w:r>
        <w:t>l</w:t>
      </w:r>
      <w:r>
        <w:t>ler uddybende i forhold til det allerede angivne.</w:t>
      </w:r>
    </w:p>
    <w:p w:rsidR="008A7EA7" w:rsidRDefault="008A7EA7">
      <w:pPr>
        <w:pStyle w:val="Brdtekst"/>
      </w:pPr>
    </w:p>
    <w:p w:rsidR="001448CA" w:rsidP="001448CA" w:rsidRDefault="001448CA">
      <w:pPr>
        <w:spacing w:after="200"/>
        <w:jc w:val="both"/>
        <w:rPr>
          <w:b/>
          <w:bCs/>
          <w:szCs w:val="24"/>
        </w:rPr>
      </w:pPr>
      <w:r>
        <w:rPr>
          <w:szCs w:val="24"/>
        </w:rPr>
        <w:t>Forsyningssekretariatet har fremsendt korrigeret afgørelse om selskabets prisloft for 2014 den 7. januar 2014. Korrektionen skyldes, at Fors</w:t>
      </w:r>
      <w:r>
        <w:rPr>
          <w:szCs w:val="24"/>
        </w:rPr>
        <w:t>y</w:t>
      </w:r>
      <w:r>
        <w:rPr>
          <w:szCs w:val="24"/>
        </w:rPr>
        <w:t>ningssekretariatet er blevet opmærksom på en mindre regnefejl i det a</w:t>
      </w:r>
      <w:r>
        <w:rPr>
          <w:szCs w:val="24"/>
        </w:rPr>
        <w:t>l</w:t>
      </w:r>
      <w:r>
        <w:rPr>
          <w:szCs w:val="24"/>
        </w:rPr>
        <w:t>derskorrigerede og tæthedskorrigerede netvolumenmål i prislofterne for 2014 for de selskaber, som har fået godkendt særlige forhold. Ved at re</w:t>
      </w:r>
      <w:r>
        <w:rPr>
          <w:szCs w:val="24"/>
        </w:rPr>
        <w:t>t</w:t>
      </w:r>
      <w:r>
        <w:rPr>
          <w:szCs w:val="24"/>
        </w:rPr>
        <w:t>te op på regnefejlen, har disse selskaber fået beregnet højere korrigerede netvolumenmål. Den korrigerede afgørelse er således begunstigende for selskabet. Der henvises til afsnittet ”Korrektion for individuelt effektiv</w:t>
      </w:r>
      <w:r>
        <w:rPr>
          <w:szCs w:val="24"/>
        </w:rPr>
        <w:t>i</w:t>
      </w:r>
      <w:r>
        <w:rPr>
          <w:szCs w:val="24"/>
        </w:rPr>
        <w:t>seringskrav” nedenfor.</w:t>
      </w:r>
      <w:r>
        <w:rPr>
          <w:b/>
          <w:bCs/>
          <w:szCs w:val="24"/>
        </w:rPr>
        <w:t xml:space="preserve"> </w:t>
      </w:r>
    </w:p>
    <w:p w:rsidR="00EA41B5" w:rsidRDefault="00EA41B5">
      <w:pPr>
        <w:pStyle w:val="Brdtekst"/>
      </w:pPr>
    </w:p>
    <w:p w:rsidRPr="00EA41B5" w:rsidR="00EA41B5" w:rsidP="006C3EAF" w:rsidRDefault="00EA41B5">
      <w:pPr>
        <w:pStyle w:val="Overskrift1"/>
        <w:pageBreakBefore/>
        <w:rPr>
          <w:sz w:val="28"/>
          <w:szCs w:val="28"/>
        </w:rPr>
      </w:pPr>
      <w:r w:rsidRPr="00EA41B5">
        <w:rPr>
          <w:sz w:val="28"/>
          <w:szCs w:val="28"/>
        </w:rPr>
        <w:lastRenderedPageBreak/>
        <w:t>Begrundelse</w:t>
      </w:r>
    </w:p>
    <w:p w:rsidR="00EA41B5" w:rsidP="00EA41B5" w:rsidRDefault="00EA41B5">
      <w:pPr>
        <w:jc w:val="both"/>
      </w:pPr>
    </w:p>
    <w:p w:rsidR="00EA41B5" w:rsidP="00EA41B5" w:rsidRDefault="00EA41B5">
      <w:pPr>
        <w:jc w:val="both"/>
      </w:pPr>
      <w:r>
        <w:t>Forsyningssekretariatet vurderer, at det på baggrund af de foreliggende oplysninger er muligt at træffe afgørelse om selsk</w:t>
      </w:r>
      <w:r w:rsidR="00036208">
        <w:t>abets prisloft gældende for 2014</w:t>
      </w:r>
      <w:r>
        <w:t>.</w:t>
      </w:r>
    </w:p>
    <w:p w:rsidR="00EA41B5" w:rsidP="00EA41B5" w:rsidRDefault="00EA41B5">
      <w:pPr>
        <w:jc w:val="both"/>
      </w:pPr>
    </w:p>
    <w:p w:rsidR="008A7EA7" w:rsidP="00EA41B5" w:rsidRDefault="00EA41B5">
      <w:pPr>
        <w:jc w:val="both"/>
      </w:pPr>
      <w:r>
        <w:t>Selskabets prisloft for 201</w:t>
      </w:r>
      <w:r w:rsidR="006E7961">
        <w:t>4</w:t>
      </w:r>
      <w:r>
        <w:t xml:space="preserve"> er beregnet i følgende tabel:</w:t>
      </w:r>
    </w:p>
    <w:p w:rsidR="00375E51" w:rsidP="00EA41B5" w:rsidRDefault="00375E51">
      <w:pPr>
        <w:jc w:val="both"/>
      </w:pPr>
    </w:p>
    <w:tbl>
      <w:tblPr>
        <w:tblW w:w="601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69"/>
        <w:gridCol w:w="1262"/>
        <w:gridCol w:w="427"/>
        <w:gridCol w:w="1205"/>
        <w:gridCol w:w="68"/>
        <w:gridCol w:w="424"/>
      </w:tblGrid>
      <w:tr w:rsidRPr="001417F8" w:rsidR="00375E51" w:rsidTr="00BD5319">
        <w:tc>
          <w:tcPr>
            <w:tcW w:w="3066"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rPr>
                <w:b/>
                <w:sz w:val="20"/>
              </w:rPr>
            </w:pPr>
            <w:r w:rsidRPr="00CB387F">
              <w:rPr>
                <w:b/>
                <w:sz w:val="20"/>
              </w:rPr>
              <w:t>Driftsomkostninger</w:t>
            </w:r>
          </w:p>
        </w:tc>
        <w:tc>
          <w:tcPr>
            <w:tcW w:w="721" w:type="pct"/>
            <w:tcBorders>
              <w:top w:val="single" w:color="auto" w:sz="4" w:space="0"/>
              <w:left w:val="single" w:color="auto" w:sz="4" w:space="0"/>
              <w:bottom w:val="single" w:color="auto" w:sz="4" w:space="0"/>
              <w:right w:val="single" w:color="auto" w:sz="4" w:space="0"/>
            </w:tcBorders>
            <w:shd w:val="solid" w:color="auto" w:fill="auto"/>
          </w:tcPr>
          <w:p w:rsidRPr="001417F8" w:rsidR="00375E51" w:rsidP="00455CE1" w:rsidRDefault="00375E51">
            <w:pPr>
              <w:jc w:val="center"/>
              <w:rPr>
                <w:b/>
                <w:sz w:val="20"/>
              </w:rPr>
            </w:pPr>
          </w:p>
        </w:tc>
        <w:tc>
          <w:tcPr>
            <w:tcW w:w="244" w:type="pct"/>
            <w:tcBorders>
              <w:top w:val="single" w:color="auto" w:sz="4" w:space="0"/>
              <w:left w:val="single" w:color="auto" w:sz="4" w:space="0"/>
              <w:bottom w:val="single" w:color="auto" w:sz="4" w:space="0"/>
              <w:right w:val="single" w:color="auto" w:sz="4" w:space="0"/>
            </w:tcBorders>
            <w:shd w:val="solid" w:color="auto" w:fill="auto"/>
          </w:tcPr>
          <w:p w:rsidRPr="001417F8" w:rsidR="00375E51" w:rsidP="00455CE1" w:rsidRDefault="00375E51">
            <w:pPr>
              <w:jc w:val="center"/>
              <w:rPr>
                <w:b/>
                <w:sz w:val="20"/>
              </w:rPr>
            </w:pPr>
          </w:p>
        </w:tc>
        <w:tc>
          <w:tcPr>
            <w:tcW w:w="688" w:type="pct"/>
            <w:tcBorders>
              <w:top w:val="single" w:color="auto" w:sz="4" w:space="0"/>
              <w:left w:val="single" w:color="auto" w:sz="4" w:space="0"/>
              <w:bottom w:val="single" w:color="auto" w:sz="4" w:space="0"/>
              <w:right w:val="single" w:color="auto" w:sz="4" w:space="0"/>
            </w:tcBorders>
            <w:shd w:val="solid" w:color="auto" w:fill="auto"/>
          </w:tcPr>
          <w:p w:rsidRPr="001417F8" w:rsidR="00375E51" w:rsidP="00455CE1" w:rsidRDefault="00375E51">
            <w:pPr>
              <w:jc w:val="center"/>
              <w:rPr>
                <w:b/>
                <w:sz w:val="20"/>
              </w:rPr>
            </w:pPr>
          </w:p>
        </w:tc>
        <w:tc>
          <w:tcPr>
            <w:tcW w:w="281" w:type="pct"/>
            <w:gridSpan w:val="2"/>
            <w:tcBorders>
              <w:top w:val="single" w:color="auto" w:sz="4" w:space="0"/>
              <w:left w:val="single" w:color="auto" w:sz="4" w:space="0"/>
              <w:bottom w:val="single" w:color="auto" w:sz="4" w:space="0"/>
              <w:right w:val="single" w:color="auto" w:sz="4" w:space="0"/>
            </w:tcBorders>
            <w:shd w:val="solid" w:color="auto" w:fill="auto"/>
          </w:tcPr>
          <w:p w:rsidRPr="001417F8" w:rsidR="00375E51" w:rsidP="00455CE1" w:rsidRDefault="00375E51">
            <w:pPr>
              <w:jc w:val="center"/>
              <w:rPr>
                <w:b/>
                <w:sz w:val="20"/>
              </w:rPr>
            </w:pPr>
          </w:p>
        </w:tc>
      </w:tr>
      <w:tr w:rsidRPr="001417F8" w:rsidR="00375E51" w:rsidTr="00BD5319">
        <w:tc>
          <w:tcPr>
            <w:tcW w:w="3066"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Korrigerede driftsom</w:t>
            </w:r>
            <w:r>
              <w:rPr>
                <w:sz w:val="20"/>
              </w:rPr>
              <w:t>kostninger i prisloftet for 2013</w:t>
            </w:r>
          </w:p>
        </w:tc>
        <w:tc>
          <w:tcPr>
            <w:tcW w:w="721" w:type="pct"/>
            <w:tcBorders>
              <w:top w:val="single" w:color="auto" w:sz="4" w:space="0"/>
              <w:left w:val="single" w:color="auto" w:sz="4" w:space="0"/>
              <w:bottom w:val="single" w:color="auto" w:sz="4" w:space="0"/>
              <w:right w:val="nil"/>
            </w:tcBorders>
            <w:shd w:val="clear" w:color="auto" w:fill="auto"/>
          </w:tcPr>
          <w:p w:rsidRPr="001417F8" w:rsidR="00375E51" w:rsidP="00455CE1" w:rsidRDefault="00455CE1">
            <w:pPr>
              <w:jc w:val="right"/>
              <w:rPr>
                <w:sz w:val="20"/>
              </w:rPr>
            </w:pPr>
            <w:r w:rsidRPr="001417F8">
              <w:rPr>
                <w:sz w:val="20"/>
              </w:rPr>
              <w:fldChar w:fldCharType="begin"/>
            </w:r>
            <w:r w:rsidRPr="001417F8">
              <w:rPr>
                <w:sz w:val="20"/>
              </w:rPr>
              <w:instrText xml:space="preserve"> REF KorrDrift \h  \* MERGEFORMAT </w:instrText>
            </w:r>
            <w:r w:rsidRPr="001417F8">
              <w:rPr>
                <w:sz w:val="20"/>
              </w:rPr>
            </w:r>
            <w:r w:rsidRPr="001417F8">
              <w:rPr>
                <w:sz w:val="20"/>
              </w:rPr>
              <w:fldChar w:fldCharType="separate"/>
            </w:r>
            <w:r w:rsidRPr="00B63E0C" w:rsidR="00D93A07">
              <w:rPr>
                <w:sz w:val="20"/>
              </w:rPr>
              <w:t>41.767.243</w:t>
            </w:r>
            <w:r w:rsidRPr="001417F8">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1417F8" w:rsidR="00375E51" w:rsidP="00455CE1" w:rsidRDefault="00375E51">
            <w:r w:rsidRPr="001417F8">
              <w:rPr>
                <w:sz w:val="18"/>
                <w:szCs w:val="18"/>
              </w:rPr>
              <w:t>kr.</w:t>
            </w:r>
          </w:p>
        </w:tc>
        <w:tc>
          <w:tcPr>
            <w:tcW w:w="969" w:type="pct"/>
            <w:gridSpan w:val="3"/>
            <w:vMerge w:val="restart"/>
            <w:tcBorders>
              <w:top w:val="single" w:color="auto" w:sz="4" w:space="0"/>
              <w:left w:val="nil"/>
              <w:right w:val="single" w:color="auto" w:sz="4" w:space="0"/>
            </w:tcBorders>
            <w:shd w:val="clear" w:color="auto" w:fill="auto"/>
          </w:tcPr>
          <w:p w:rsidRPr="001417F8" w:rsidR="00375E51" w:rsidP="00455CE1" w:rsidRDefault="00375E51">
            <w:pPr>
              <w:jc w:val="right"/>
              <w:rPr>
                <w:sz w:val="20"/>
              </w:rPr>
            </w:pPr>
          </w:p>
        </w:tc>
      </w:tr>
      <w:tr w:rsidRPr="001417F8" w:rsidR="00375E51" w:rsidTr="00BD5319">
        <w:tc>
          <w:tcPr>
            <w:tcW w:w="3066"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Bortfald af væsentlige omkostninger</w:t>
            </w:r>
          </w:p>
        </w:tc>
        <w:tc>
          <w:tcPr>
            <w:tcW w:w="721" w:type="pct"/>
            <w:tcBorders>
              <w:top w:val="single" w:color="auto" w:sz="4" w:space="0"/>
              <w:left w:val="single" w:color="auto" w:sz="4" w:space="0"/>
              <w:bottom w:val="single" w:color="auto" w:sz="4" w:space="0"/>
              <w:right w:val="nil"/>
            </w:tcBorders>
            <w:shd w:val="clear" w:color="auto" w:fill="auto"/>
          </w:tcPr>
          <w:p w:rsidRPr="001417F8" w:rsidR="00375E51" w:rsidP="00455CE1" w:rsidRDefault="001417F8">
            <w:pPr>
              <w:jc w:val="right"/>
              <w:rPr>
                <w:sz w:val="20"/>
              </w:rPr>
            </w:pPr>
            <w:r>
              <w:rPr>
                <w:sz w:val="20"/>
              </w:rPr>
              <w:t>0</w:t>
            </w:r>
          </w:p>
        </w:tc>
        <w:tc>
          <w:tcPr>
            <w:tcW w:w="244" w:type="pct"/>
            <w:tcBorders>
              <w:top w:val="single" w:color="auto" w:sz="4" w:space="0"/>
              <w:left w:val="nil"/>
              <w:bottom w:val="single" w:color="auto" w:sz="4" w:space="0"/>
              <w:right w:val="single" w:color="auto" w:sz="4" w:space="0"/>
            </w:tcBorders>
            <w:shd w:val="clear" w:color="auto" w:fill="auto"/>
          </w:tcPr>
          <w:p w:rsidRPr="001417F8" w:rsidR="00375E51" w:rsidP="00455CE1" w:rsidRDefault="00375E51">
            <w:r w:rsidRPr="001417F8">
              <w:rPr>
                <w:sz w:val="18"/>
                <w:szCs w:val="18"/>
              </w:rPr>
              <w:t>kr.</w:t>
            </w:r>
          </w:p>
        </w:tc>
        <w:tc>
          <w:tcPr>
            <w:tcW w:w="969" w:type="pct"/>
            <w:gridSpan w:val="3"/>
            <w:vMerge/>
            <w:tcBorders>
              <w:left w:val="nil"/>
              <w:right w:val="single" w:color="auto" w:sz="4" w:space="0"/>
            </w:tcBorders>
            <w:shd w:val="clear" w:color="auto" w:fill="auto"/>
          </w:tcPr>
          <w:p w:rsidRPr="001417F8" w:rsidR="00375E51" w:rsidP="00455CE1" w:rsidRDefault="00375E51">
            <w:pPr>
              <w:jc w:val="right"/>
              <w:rPr>
                <w:color w:val="FF0000"/>
                <w:sz w:val="20"/>
              </w:rPr>
            </w:pPr>
          </w:p>
        </w:tc>
      </w:tr>
      <w:tr w:rsidRPr="001417F8" w:rsidR="00375E51" w:rsidTr="00BD5319">
        <w:tc>
          <w:tcPr>
            <w:tcW w:w="3066"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Korrektion for prisudvikling</w:t>
            </w:r>
          </w:p>
        </w:tc>
        <w:tc>
          <w:tcPr>
            <w:tcW w:w="721" w:type="pct"/>
            <w:tcBorders>
              <w:top w:val="single" w:color="auto" w:sz="4" w:space="0"/>
              <w:left w:val="single" w:color="auto" w:sz="4" w:space="0"/>
              <w:bottom w:val="single" w:color="auto" w:sz="4" w:space="0"/>
              <w:right w:val="nil"/>
            </w:tcBorders>
            <w:shd w:val="clear" w:color="auto" w:fill="auto"/>
          </w:tcPr>
          <w:p w:rsidRPr="001417F8" w:rsidR="00375E51" w:rsidP="00455CE1" w:rsidRDefault="00455CE1">
            <w:pPr>
              <w:jc w:val="right"/>
              <w:rPr>
                <w:sz w:val="20"/>
              </w:rPr>
            </w:pPr>
            <w:r w:rsidRPr="001417F8">
              <w:rPr>
                <w:sz w:val="20"/>
              </w:rPr>
              <w:fldChar w:fldCharType="begin"/>
            </w:r>
            <w:r w:rsidRPr="001417F8">
              <w:rPr>
                <w:sz w:val="20"/>
              </w:rPr>
              <w:instrText xml:space="preserve"> REF PrisUdv \h  \* MERGEFORMAT </w:instrText>
            </w:r>
            <w:r w:rsidRPr="001417F8">
              <w:rPr>
                <w:sz w:val="20"/>
              </w:rPr>
            </w:r>
            <w:r w:rsidRPr="001417F8">
              <w:rPr>
                <w:sz w:val="20"/>
              </w:rPr>
              <w:fldChar w:fldCharType="separate"/>
            </w:r>
            <w:r w:rsidRPr="00D93A07" w:rsidR="00D93A07">
              <w:rPr>
                <w:sz w:val="20"/>
              </w:rPr>
              <w:t>626.509</w:t>
            </w:r>
            <w:r w:rsidRPr="001417F8">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1417F8" w:rsidR="00375E51" w:rsidP="00455CE1" w:rsidRDefault="00375E51">
            <w:r w:rsidRPr="001417F8">
              <w:rPr>
                <w:sz w:val="18"/>
                <w:szCs w:val="18"/>
              </w:rPr>
              <w:t>kr.</w:t>
            </w:r>
          </w:p>
        </w:tc>
        <w:tc>
          <w:tcPr>
            <w:tcW w:w="969" w:type="pct"/>
            <w:gridSpan w:val="3"/>
            <w:vMerge/>
            <w:tcBorders>
              <w:left w:val="nil"/>
              <w:right w:val="single" w:color="auto" w:sz="4" w:space="0"/>
            </w:tcBorders>
            <w:shd w:val="clear" w:color="auto" w:fill="auto"/>
          </w:tcPr>
          <w:p w:rsidRPr="001417F8" w:rsidR="00375E51" w:rsidP="00455CE1" w:rsidRDefault="00375E51">
            <w:pPr>
              <w:jc w:val="right"/>
              <w:rPr>
                <w:sz w:val="20"/>
              </w:rPr>
            </w:pPr>
          </w:p>
        </w:tc>
      </w:tr>
      <w:tr w:rsidRPr="001417F8" w:rsidR="00375E51" w:rsidTr="00BD5319">
        <w:tc>
          <w:tcPr>
            <w:tcW w:w="3066"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Korrektion for generelt effektiviseringskrav</w:t>
            </w:r>
          </w:p>
        </w:tc>
        <w:tc>
          <w:tcPr>
            <w:tcW w:w="721" w:type="pct"/>
            <w:tcBorders>
              <w:top w:val="single" w:color="auto" w:sz="4" w:space="0"/>
              <w:left w:val="single" w:color="auto" w:sz="4" w:space="0"/>
              <w:bottom w:val="single" w:color="auto" w:sz="4" w:space="0"/>
              <w:right w:val="nil"/>
            </w:tcBorders>
            <w:shd w:val="clear" w:color="auto" w:fill="auto"/>
          </w:tcPr>
          <w:p w:rsidRPr="001417F8" w:rsidR="00375E51" w:rsidP="00455CE1" w:rsidRDefault="00455CE1">
            <w:pPr>
              <w:jc w:val="right"/>
              <w:rPr>
                <w:sz w:val="20"/>
              </w:rPr>
            </w:pPr>
            <w:r w:rsidRPr="001417F8">
              <w:rPr>
                <w:sz w:val="20"/>
              </w:rPr>
              <w:t>0</w:t>
            </w:r>
          </w:p>
        </w:tc>
        <w:tc>
          <w:tcPr>
            <w:tcW w:w="244" w:type="pct"/>
            <w:tcBorders>
              <w:top w:val="single" w:color="auto" w:sz="4" w:space="0"/>
              <w:left w:val="nil"/>
              <w:bottom w:val="single" w:color="auto" w:sz="4" w:space="0"/>
              <w:right w:val="single" w:color="auto" w:sz="4" w:space="0"/>
            </w:tcBorders>
            <w:shd w:val="clear" w:color="auto" w:fill="auto"/>
          </w:tcPr>
          <w:p w:rsidRPr="001417F8" w:rsidR="00375E51" w:rsidP="00455CE1" w:rsidRDefault="00375E51">
            <w:r w:rsidRPr="001417F8">
              <w:rPr>
                <w:sz w:val="18"/>
                <w:szCs w:val="18"/>
              </w:rPr>
              <w:t>kr.</w:t>
            </w:r>
          </w:p>
        </w:tc>
        <w:tc>
          <w:tcPr>
            <w:tcW w:w="969" w:type="pct"/>
            <w:gridSpan w:val="3"/>
            <w:vMerge/>
            <w:tcBorders>
              <w:left w:val="nil"/>
              <w:right w:val="single" w:color="auto" w:sz="4" w:space="0"/>
            </w:tcBorders>
            <w:shd w:val="clear" w:color="auto" w:fill="auto"/>
          </w:tcPr>
          <w:p w:rsidRPr="001417F8" w:rsidR="00375E51" w:rsidP="00455CE1" w:rsidRDefault="00375E51">
            <w:pPr>
              <w:jc w:val="right"/>
              <w:rPr>
                <w:sz w:val="20"/>
              </w:rPr>
            </w:pPr>
          </w:p>
        </w:tc>
      </w:tr>
      <w:tr w:rsidRPr="001417F8" w:rsidR="00375E51" w:rsidTr="00BD5319">
        <w:tc>
          <w:tcPr>
            <w:tcW w:w="3066"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Korrektion for individuelt effektiviseringskrav</w:t>
            </w:r>
          </w:p>
        </w:tc>
        <w:tc>
          <w:tcPr>
            <w:tcW w:w="721" w:type="pct"/>
            <w:tcBorders>
              <w:top w:val="single" w:color="auto" w:sz="4" w:space="0"/>
              <w:left w:val="single" w:color="auto" w:sz="4" w:space="0"/>
              <w:bottom w:val="single" w:color="auto" w:sz="4" w:space="0"/>
              <w:right w:val="nil"/>
            </w:tcBorders>
            <w:shd w:val="clear" w:color="auto" w:fill="auto"/>
          </w:tcPr>
          <w:p w:rsidRPr="001417F8" w:rsidR="00375E51" w:rsidP="00455CE1" w:rsidRDefault="00455CE1">
            <w:pPr>
              <w:jc w:val="right"/>
              <w:rPr>
                <w:sz w:val="20"/>
              </w:rPr>
            </w:pPr>
            <w:r w:rsidRPr="001417F8">
              <w:rPr>
                <w:sz w:val="20"/>
              </w:rPr>
              <w:t>-</w:t>
            </w:r>
            <w:r w:rsidRPr="001417F8">
              <w:rPr>
                <w:sz w:val="20"/>
              </w:rPr>
              <w:fldChar w:fldCharType="begin"/>
            </w:r>
            <w:r w:rsidRPr="001417F8">
              <w:rPr>
                <w:sz w:val="20"/>
              </w:rPr>
              <w:instrText xml:space="preserve"> REF IndiKrav \h  \* MERGEFORMAT </w:instrText>
            </w:r>
            <w:r w:rsidRPr="001417F8">
              <w:rPr>
                <w:sz w:val="20"/>
              </w:rPr>
            </w:r>
            <w:r w:rsidRPr="001417F8">
              <w:rPr>
                <w:sz w:val="20"/>
              </w:rPr>
              <w:fldChar w:fldCharType="separate"/>
            </w:r>
            <w:r w:rsidRPr="00D93A07" w:rsidR="00D93A07">
              <w:rPr>
                <w:sz w:val="20"/>
              </w:rPr>
              <w:t>1.677.455</w:t>
            </w:r>
            <w:r w:rsidRPr="001417F8">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1417F8" w:rsidR="00375E51" w:rsidP="00455CE1" w:rsidRDefault="00375E51">
            <w:r w:rsidRPr="001417F8">
              <w:rPr>
                <w:sz w:val="18"/>
                <w:szCs w:val="18"/>
              </w:rPr>
              <w:t>kr.</w:t>
            </w:r>
          </w:p>
        </w:tc>
        <w:tc>
          <w:tcPr>
            <w:tcW w:w="969" w:type="pct"/>
            <w:gridSpan w:val="3"/>
            <w:vMerge/>
            <w:tcBorders>
              <w:left w:val="nil"/>
              <w:bottom w:val="single" w:color="auto" w:sz="4" w:space="0"/>
              <w:right w:val="single" w:color="auto" w:sz="4" w:space="0"/>
            </w:tcBorders>
            <w:shd w:val="clear" w:color="auto" w:fill="auto"/>
          </w:tcPr>
          <w:p w:rsidRPr="001417F8" w:rsidR="00375E51" w:rsidP="00455CE1" w:rsidRDefault="00375E51">
            <w:pPr>
              <w:jc w:val="right"/>
              <w:rPr>
                <w:sz w:val="20"/>
              </w:rPr>
            </w:pPr>
          </w:p>
        </w:tc>
      </w:tr>
      <w:tr w:rsidRPr="001417F8" w:rsidR="00375E51" w:rsidTr="00BD5319">
        <w:tc>
          <w:tcPr>
            <w:tcW w:w="3066" w:type="pct"/>
            <w:tcBorders>
              <w:top w:val="single" w:color="auto" w:sz="4" w:space="0"/>
              <w:left w:val="single" w:color="auto" w:sz="4" w:space="0"/>
              <w:bottom w:val="single" w:color="auto" w:sz="4" w:space="0"/>
              <w:right w:val="single" w:color="auto" w:sz="4" w:space="0"/>
            </w:tcBorders>
            <w:shd w:val="pct12" w:color="auto" w:fill="auto"/>
          </w:tcPr>
          <w:p w:rsidRPr="00CB387F" w:rsidR="00375E51" w:rsidP="00455CE1" w:rsidRDefault="00375E51">
            <w:pPr>
              <w:rPr>
                <w:sz w:val="20"/>
              </w:rPr>
            </w:pPr>
            <w:r w:rsidRPr="00CB387F">
              <w:rPr>
                <w:sz w:val="20"/>
              </w:rPr>
              <w:t>Driftsomkostninger i alt</w:t>
            </w:r>
          </w:p>
        </w:tc>
        <w:bookmarkStart w:name="DriftIalt" w:id="2"/>
        <w:tc>
          <w:tcPr>
            <w:tcW w:w="721" w:type="pct"/>
            <w:tcBorders>
              <w:top w:val="single" w:color="auto" w:sz="4" w:space="0"/>
              <w:left w:val="single" w:color="auto" w:sz="4" w:space="0"/>
              <w:bottom w:val="single" w:color="auto" w:sz="4" w:space="0"/>
              <w:right w:val="nil"/>
            </w:tcBorders>
            <w:shd w:val="pct12" w:color="auto" w:fill="auto"/>
          </w:tcPr>
          <w:p w:rsidRPr="001417F8" w:rsidR="00375E51" w:rsidP="00455CE1" w:rsidRDefault="00455CE1">
            <w:pPr>
              <w:jc w:val="right"/>
              <w:rPr>
                <w:sz w:val="20"/>
              </w:rPr>
            </w:pPr>
            <w:r w:rsidRPr="001417F8">
              <w:rPr>
                <w:sz w:val="20"/>
              </w:rPr>
              <w:fldChar w:fldCharType="begin"/>
            </w:r>
            <w:r w:rsidRPr="001417F8">
              <w:rPr>
                <w:sz w:val="20"/>
              </w:rPr>
              <w:instrText xml:space="preserve"> =SUM(ABOVE) </w:instrText>
            </w:r>
            <w:r w:rsidRPr="001417F8">
              <w:rPr>
                <w:sz w:val="20"/>
              </w:rPr>
              <w:fldChar w:fldCharType="separate"/>
            </w:r>
            <w:r w:rsidR="00A578E8">
              <w:rPr>
                <w:noProof/>
                <w:sz w:val="20"/>
              </w:rPr>
              <w:t>40.716.297</w:t>
            </w:r>
            <w:r w:rsidRPr="001417F8">
              <w:rPr>
                <w:sz w:val="20"/>
              </w:rPr>
              <w:fldChar w:fldCharType="end"/>
            </w:r>
            <w:bookmarkEnd w:id="2"/>
          </w:p>
        </w:tc>
        <w:tc>
          <w:tcPr>
            <w:tcW w:w="244" w:type="pct"/>
            <w:tcBorders>
              <w:top w:val="single" w:color="auto" w:sz="4" w:space="0"/>
              <w:left w:val="nil"/>
              <w:bottom w:val="single" w:color="auto" w:sz="4" w:space="0"/>
              <w:right w:val="single" w:color="auto" w:sz="4" w:space="0"/>
            </w:tcBorders>
            <w:shd w:val="pct12" w:color="auto" w:fill="auto"/>
          </w:tcPr>
          <w:p w:rsidRPr="001417F8" w:rsidR="00375E51" w:rsidP="00455CE1" w:rsidRDefault="00375E51">
            <w:pPr>
              <w:rPr>
                <w:sz w:val="18"/>
                <w:szCs w:val="18"/>
              </w:rPr>
            </w:pPr>
            <w:r w:rsidRPr="001417F8">
              <w:rPr>
                <w:sz w:val="18"/>
                <w:szCs w:val="18"/>
              </w:rPr>
              <w:t>kr.</w:t>
            </w:r>
          </w:p>
        </w:tc>
        <w:tc>
          <w:tcPr>
            <w:tcW w:w="688" w:type="pct"/>
            <w:tcBorders>
              <w:top w:val="single" w:color="auto" w:sz="4" w:space="0"/>
              <w:left w:val="nil"/>
              <w:bottom w:val="single" w:color="auto" w:sz="4" w:space="0"/>
              <w:right w:val="single" w:color="auto" w:sz="4" w:space="0"/>
            </w:tcBorders>
            <w:shd w:val="pct12" w:color="auto" w:fill="auto"/>
          </w:tcPr>
          <w:p w:rsidRPr="001417F8" w:rsidR="00375E51" w:rsidP="00455CE1" w:rsidRDefault="00455CE1">
            <w:pPr>
              <w:jc w:val="right"/>
              <w:rPr>
                <w:sz w:val="20"/>
              </w:rPr>
            </w:pPr>
            <w:r w:rsidRPr="001417F8">
              <w:rPr>
                <w:sz w:val="20"/>
              </w:rPr>
              <w:fldChar w:fldCharType="begin"/>
            </w:r>
            <w:r w:rsidRPr="001417F8">
              <w:rPr>
                <w:sz w:val="20"/>
              </w:rPr>
              <w:instrText xml:space="preserve"> REF DriftIalt \h </w:instrText>
            </w:r>
            <w:r w:rsidRPr="001417F8">
              <w:rPr>
                <w:sz w:val="20"/>
              </w:rPr>
            </w:r>
            <w:r w:rsidRPr="001417F8">
              <w:rPr>
                <w:sz w:val="20"/>
              </w:rPr>
              <w:fldChar w:fldCharType="separate"/>
            </w:r>
            <w:r w:rsidR="00D93A07">
              <w:rPr>
                <w:noProof/>
                <w:sz w:val="20"/>
              </w:rPr>
              <w:t>40.716.297</w:t>
            </w:r>
            <w:r w:rsidRPr="001417F8">
              <w:rPr>
                <w:sz w:val="20"/>
              </w:rPr>
              <w:fldChar w:fldCharType="end"/>
            </w:r>
          </w:p>
        </w:tc>
        <w:tc>
          <w:tcPr>
            <w:tcW w:w="281" w:type="pct"/>
            <w:gridSpan w:val="2"/>
            <w:tcBorders>
              <w:top w:val="single" w:color="auto" w:sz="4" w:space="0"/>
              <w:left w:val="nil"/>
              <w:bottom w:val="single" w:color="auto" w:sz="4" w:space="0"/>
              <w:right w:val="single" w:color="auto" w:sz="4" w:space="0"/>
            </w:tcBorders>
            <w:shd w:val="pct12" w:color="auto" w:fill="auto"/>
          </w:tcPr>
          <w:p w:rsidRPr="001417F8" w:rsidR="00375E51" w:rsidP="00455CE1" w:rsidRDefault="00375E51">
            <w:pPr>
              <w:rPr>
                <w:sz w:val="18"/>
                <w:szCs w:val="18"/>
              </w:rPr>
            </w:pPr>
            <w:r w:rsidRPr="001417F8">
              <w:rPr>
                <w:sz w:val="18"/>
                <w:szCs w:val="18"/>
              </w:rPr>
              <w:t>kr.</w:t>
            </w:r>
          </w:p>
        </w:tc>
      </w:tr>
      <w:tr w:rsidRPr="001417F8" w:rsidR="00375E51" w:rsidTr="00BD5319">
        <w:tc>
          <w:tcPr>
            <w:tcW w:w="3066"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rPr>
                <w:b/>
                <w:sz w:val="20"/>
              </w:rPr>
            </w:pPr>
            <w:r w:rsidRPr="00CB387F">
              <w:rPr>
                <w:b/>
                <w:sz w:val="20"/>
              </w:rPr>
              <w:t>Investeringer</w:t>
            </w:r>
          </w:p>
        </w:tc>
        <w:tc>
          <w:tcPr>
            <w:tcW w:w="721" w:type="pct"/>
            <w:tcBorders>
              <w:top w:val="single" w:color="auto" w:sz="4" w:space="0"/>
              <w:left w:val="single" w:color="auto" w:sz="4" w:space="0"/>
              <w:bottom w:val="single" w:color="auto" w:sz="4" w:space="0"/>
              <w:right w:val="single" w:color="auto" w:sz="4" w:space="0"/>
            </w:tcBorders>
            <w:shd w:val="solid" w:color="auto" w:fill="auto"/>
          </w:tcPr>
          <w:p w:rsidRPr="001417F8" w:rsidR="00375E51" w:rsidP="00455CE1" w:rsidRDefault="00375E51">
            <w:pPr>
              <w:jc w:val="center"/>
              <w:rPr>
                <w:b/>
                <w:sz w:val="20"/>
              </w:rPr>
            </w:pPr>
          </w:p>
        </w:tc>
        <w:tc>
          <w:tcPr>
            <w:tcW w:w="244" w:type="pct"/>
            <w:tcBorders>
              <w:top w:val="single" w:color="auto" w:sz="4" w:space="0"/>
              <w:left w:val="single" w:color="auto" w:sz="4" w:space="0"/>
              <w:bottom w:val="single" w:color="auto" w:sz="4" w:space="0"/>
              <w:right w:val="single" w:color="auto" w:sz="4" w:space="0"/>
            </w:tcBorders>
            <w:shd w:val="solid" w:color="auto" w:fill="auto"/>
          </w:tcPr>
          <w:p w:rsidRPr="001417F8" w:rsidR="00375E51" w:rsidP="00455CE1" w:rsidRDefault="00375E51">
            <w:pPr>
              <w:jc w:val="center"/>
              <w:rPr>
                <w:b/>
                <w:sz w:val="20"/>
              </w:rPr>
            </w:pPr>
          </w:p>
        </w:tc>
        <w:tc>
          <w:tcPr>
            <w:tcW w:w="688" w:type="pct"/>
            <w:tcBorders>
              <w:top w:val="single" w:color="auto" w:sz="4" w:space="0"/>
              <w:left w:val="single" w:color="auto" w:sz="4" w:space="0"/>
              <w:bottom w:val="single" w:color="auto" w:sz="4" w:space="0"/>
              <w:right w:val="single" w:color="auto" w:sz="4" w:space="0"/>
            </w:tcBorders>
            <w:shd w:val="solid" w:color="auto" w:fill="auto"/>
          </w:tcPr>
          <w:p w:rsidRPr="001417F8" w:rsidR="00375E51" w:rsidP="00455CE1" w:rsidRDefault="00375E51">
            <w:pPr>
              <w:jc w:val="center"/>
              <w:rPr>
                <w:b/>
                <w:sz w:val="20"/>
              </w:rPr>
            </w:pPr>
          </w:p>
        </w:tc>
        <w:tc>
          <w:tcPr>
            <w:tcW w:w="281" w:type="pct"/>
            <w:gridSpan w:val="2"/>
            <w:tcBorders>
              <w:top w:val="single" w:color="auto" w:sz="4" w:space="0"/>
              <w:left w:val="single" w:color="auto" w:sz="4" w:space="0"/>
              <w:bottom w:val="single" w:color="auto" w:sz="4" w:space="0"/>
              <w:right w:val="single" w:color="auto" w:sz="4" w:space="0"/>
            </w:tcBorders>
            <w:shd w:val="solid" w:color="auto" w:fill="auto"/>
          </w:tcPr>
          <w:p w:rsidRPr="001417F8" w:rsidR="00375E51" w:rsidP="00455CE1" w:rsidRDefault="00375E51">
            <w:pPr>
              <w:jc w:val="center"/>
              <w:rPr>
                <w:b/>
                <w:sz w:val="20"/>
              </w:rPr>
            </w:pPr>
          </w:p>
        </w:tc>
      </w:tr>
      <w:tr w:rsidRPr="001417F8" w:rsidR="00375E51" w:rsidTr="00BD5319">
        <w:tc>
          <w:tcPr>
            <w:tcW w:w="3066"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Tillæg for historiske investeringer</w:t>
            </w:r>
          </w:p>
        </w:tc>
        <w:tc>
          <w:tcPr>
            <w:tcW w:w="721" w:type="pct"/>
            <w:tcBorders>
              <w:top w:val="single" w:color="auto" w:sz="4" w:space="0"/>
              <w:left w:val="single" w:color="auto" w:sz="4" w:space="0"/>
              <w:bottom w:val="single" w:color="auto" w:sz="4" w:space="0"/>
              <w:right w:val="nil"/>
            </w:tcBorders>
            <w:shd w:val="clear" w:color="auto" w:fill="auto"/>
          </w:tcPr>
          <w:p w:rsidRPr="001417F8" w:rsidR="00375E51" w:rsidP="00455CE1" w:rsidRDefault="00455CE1">
            <w:pPr>
              <w:jc w:val="right"/>
              <w:rPr>
                <w:sz w:val="20"/>
              </w:rPr>
            </w:pPr>
            <w:r w:rsidRPr="001417F8">
              <w:rPr>
                <w:sz w:val="20"/>
              </w:rPr>
              <w:fldChar w:fldCharType="begin"/>
            </w:r>
            <w:r w:rsidRPr="001417F8">
              <w:rPr>
                <w:sz w:val="20"/>
              </w:rPr>
              <w:instrText xml:space="preserve"> REF HistInv \h  \* MERGEFORMAT </w:instrText>
            </w:r>
            <w:r w:rsidRPr="001417F8">
              <w:rPr>
                <w:sz w:val="20"/>
              </w:rPr>
            </w:r>
            <w:r w:rsidRPr="001417F8">
              <w:rPr>
                <w:sz w:val="20"/>
              </w:rPr>
              <w:fldChar w:fldCharType="separate"/>
            </w:r>
            <w:r w:rsidRPr="00D93A07" w:rsidR="00D93A07">
              <w:rPr>
                <w:sz w:val="20"/>
              </w:rPr>
              <w:t>35.878.449</w:t>
            </w:r>
            <w:r w:rsidRPr="001417F8">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1417F8" w:rsidR="00375E51" w:rsidP="00455CE1" w:rsidRDefault="00375E51">
            <w:r w:rsidRPr="001417F8">
              <w:rPr>
                <w:sz w:val="18"/>
                <w:szCs w:val="18"/>
              </w:rPr>
              <w:t>kr.</w:t>
            </w:r>
          </w:p>
        </w:tc>
        <w:tc>
          <w:tcPr>
            <w:tcW w:w="969" w:type="pct"/>
            <w:gridSpan w:val="3"/>
            <w:vMerge w:val="restart"/>
            <w:tcBorders>
              <w:top w:val="single" w:color="auto" w:sz="4" w:space="0"/>
              <w:left w:val="nil"/>
              <w:right w:val="single" w:color="auto" w:sz="4" w:space="0"/>
            </w:tcBorders>
            <w:shd w:val="clear" w:color="auto" w:fill="auto"/>
          </w:tcPr>
          <w:p w:rsidRPr="001417F8" w:rsidR="00375E51" w:rsidP="00455CE1" w:rsidRDefault="00375E51">
            <w:pPr>
              <w:jc w:val="right"/>
              <w:rPr>
                <w:sz w:val="20"/>
              </w:rPr>
            </w:pPr>
          </w:p>
        </w:tc>
      </w:tr>
      <w:tr w:rsidRPr="001417F8" w:rsidR="00375E51" w:rsidTr="00BD5319">
        <w:tc>
          <w:tcPr>
            <w:tcW w:w="3066"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Tillæg for gennemførte investe</w:t>
            </w:r>
            <w:r w:rsidR="00D625F3">
              <w:rPr>
                <w:sz w:val="20"/>
              </w:rPr>
              <w:t>ringer i 2010</w:t>
            </w:r>
            <w:r w:rsidRPr="00CB387F">
              <w:rPr>
                <w:sz w:val="20"/>
              </w:rPr>
              <w:t>-201</w:t>
            </w:r>
            <w:r>
              <w:rPr>
                <w:sz w:val="20"/>
              </w:rPr>
              <w:t>2</w:t>
            </w:r>
          </w:p>
        </w:tc>
        <w:tc>
          <w:tcPr>
            <w:tcW w:w="721" w:type="pct"/>
            <w:tcBorders>
              <w:top w:val="single" w:color="auto" w:sz="4" w:space="0"/>
              <w:left w:val="single" w:color="auto" w:sz="4" w:space="0"/>
              <w:bottom w:val="single" w:color="auto" w:sz="4" w:space="0"/>
              <w:right w:val="nil"/>
            </w:tcBorders>
            <w:shd w:val="clear" w:color="auto" w:fill="auto"/>
          </w:tcPr>
          <w:p w:rsidRPr="001417F8" w:rsidR="00375E51" w:rsidP="00455CE1" w:rsidRDefault="00455CE1">
            <w:pPr>
              <w:jc w:val="right"/>
              <w:rPr>
                <w:sz w:val="20"/>
              </w:rPr>
            </w:pPr>
            <w:r w:rsidRPr="001417F8">
              <w:rPr>
                <w:sz w:val="20"/>
              </w:rPr>
              <w:fldChar w:fldCharType="begin"/>
            </w:r>
            <w:r w:rsidRPr="001417F8">
              <w:rPr>
                <w:sz w:val="20"/>
              </w:rPr>
              <w:instrText xml:space="preserve"> REF GenfInv \h  \* MERGEFORMAT </w:instrText>
            </w:r>
            <w:r w:rsidRPr="001417F8">
              <w:rPr>
                <w:sz w:val="20"/>
              </w:rPr>
            </w:r>
            <w:r w:rsidRPr="001417F8">
              <w:rPr>
                <w:sz w:val="20"/>
              </w:rPr>
              <w:fldChar w:fldCharType="separate"/>
            </w:r>
            <w:r w:rsidRPr="00D93A07" w:rsidR="00D93A07">
              <w:rPr>
                <w:sz w:val="20"/>
              </w:rPr>
              <w:t>4.696.270</w:t>
            </w:r>
            <w:r w:rsidRPr="001417F8">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1417F8" w:rsidR="00375E51" w:rsidP="00455CE1" w:rsidRDefault="00375E51">
            <w:r w:rsidRPr="001417F8">
              <w:rPr>
                <w:sz w:val="18"/>
                <w:szCs w:val="18"/>
              </w:rPr>
              <w:t>kr.</w:t>
            </w:r>
          </w:p>
        </w:tc>
        <w:tc>
          <w:tcPr>
            <w:tcW w:w="969" w:type="pct"/>
            <w:gridSpan w:val="3"/>
            <w:vMerge/>
            <w:tcBorders>
              <w:left w:val="nil"/>
              <w:right w:val="single" w:color="auto" w:sz="4" w:space="0"/>
            </w:tcBorders>
            <w:shd w:val="clear" w:color="auto" w:fill="auto"/>
          </w:tcPr>
          <w:p w:rsidRPr="001417F8" w:rsidR="00375E51" w:rsidP="00455CE1" w:rsidRDefault="00375E51">
            <w:pPr>
              <w:jc w:val="right"/>
              <w:rPr>
                <w:sz w:val="20"/>
              </w:rPr>
            </w:pPr>
          </w:p>
        </w:tc>
      </w:tr>
      <w:tr w:rsidRPr="001417F8" w:rsidR="00375E51" w:rsidTr="00BD5319">
        <w:tc>
          <w:tcPr>
            <w:tcW w:w="3066"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 xml:space="preserve">Korrektion af </w:t>
            </w:r>
            <w:r>
              <w:rPr>
                <w:sz w:val="20"/>
              </w:rPr>
              <w:t xml:space="preserve">tillæg for planlagte investeringer vedrørende 2012 </w:t>
            </w:r>
            <w:r w:rsidRPr="00CB387F">
              <w:rPr>
                <w:sz w:val="20"/>
              </w:rPr>
              <w:t xml:space="preserve"> </w:t>
            </w:r>
          </w:p>
        </w:tc>
        <w:tc>
          <w:tcPr>
            <w:tcW w:w="721" w:type="pct"/>
            <w:tcBorders>
              <w:top w:val="single" w:color="auto" w:sz="4" w:space="0"/>
              <w:left w:val="single" w:color="auto" w:sz="4" w:space="0"/>
              <w:bottom w:val="single" w:color="auto" w:sz="4" w:space="0"/>
              <w:right w:val="nil"/>
            </w:tcBorders>
            <w:shd w:val="clear" w:color="auto" w:fill="auto"/>
          </w:tcPr>
          <w:p w:rsidRPr="001417F8" w:rsidR="00375E51" w:rsidP="00455CE1" w:rsidRDefault="00455CE1">
            <w:pPr>
              <w:jc w:val="right"/>
              <w:rPr>
                <w:sz w:val="20"/>
              </w:rPr>
            </w:pPr>
            <w:r w:rsidRPr="001417F8">
              <w:rPr>
                <w:sz w:val="20"/>
              </w:rPr>
              <w:fldChar w:fldCharType="begin"/>
            </w:r>
            <w:r w:rsidRPr="001417F8">
              <w:rPr>
                <w:sz w:val="20"/>
              </w:rPr>
              <w:instrText xml:space="preserve"> REF KorrInv \h  \* MERGEFORMAT </w:instrText>
            </w:r>
            <w:r w:rsidRPr="001417F8">
              <w:rPr>
                <w:sz w:val="20"/>
              </w:rPr>
            </w:r>
            <w:r w:rsidRPr="001417F8">
              <w:rPr>
                <w:sz w:val="20"/>
              </w:rPr>
              <w:fldChar w:fldCharType="separate"/>
            </w:r>
            <w:r w:rsidRPr="00D93A07" w:rsidR="00D93A07">
              <w:rPr>
                <w:sz w:val="20"/>
              </w:rPr>
              <w:t>1.076.831</w:t>
            </w:r>
            <w:r w:rsidRPr="001417F8">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1417F8" w:rsidR="00375E51" w:rsidP="00455CE1" w:rsidRDefault="00375E51">
            <w:r w:rsidRPr="001417F8">
              <w:rPr>
                <w:sz w:val="18"/>
                <w:szCs w:val="18"/>
              </w:rPr>
              <w:t>kr.</w:t>
            </w:r>
          </w:p>
        </w:tc>
        <w:tc>
          <w:tcPr>
            <w:tcW w:w="969" w:type="pct"/>
            <w:gridSpan w:val="3"/>
            <w:vMerge/>
            <w:tcBorders>
              <w:left w:val="nil"/>
              <w:right w:val="single" w:color="auto" w:sz="4" w:space="0"/>
            </w:tcBorders>
            <w:shd w:val="clear" w:color="auto" w:fill="auto"/>
          </w:tcPr>
          <w:p w:rsidRPr="001417F8" w:rsidR="00375E51" w:rsidP="00455CE1" w:rsidRDefault="00375E51">
            <w:pPr>
              <w:jc w:val="right"/>
              <w:rPr>
                <w:sz w:val="20"/>
              </w:rPr>
            </w:pPr>
          </w:p>
        </w:tc>
      </w:tr>
      <w:tr w:rsidRPr="001417F8" w:rsidR="00375E51" w:rsidTr="00BD5319">
        <w:tc>
          <w:tcPr>
            <w:tcW w:w="3066"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Tillæg for planlagte investerin</w:t>
            </w:r>
            <w:r>
              <w:rPr>
                <w:sz w:val="20"/>
              </w:rPr>
              <w:t>ger i 2013</w:t>
            </w:r>
            <w:r w:rsidRPr="00CB387F">
              <w:rPr>
                <w:sz w:val="20"/>
              </w:rPr>
              <w:t xml:space="preserve"> og 201</w:t>
            </w:r>
            <w:r>
              <w:rPr>
                <w:sz w:val="20"/>
              </w:rPr>
              <w:t>4</w:t>
            </w:r>
          </w:p>
        </w:tc>
        <w:tc>
          <w:tcPr>
            <w:tcW w:w="721" w:type="pct"/>
            <w:tcBorders>
              <w:top w:val="single" w:color="auto" w:sz="4" w:space="0"/>
              <w:left w:val="single" w:color="auto" w:sz="4" w:space="0"/>
              <w:bottom w:val="single" w:color="auto" w:sz="4" w:space="0"/>
              <w:right w:val="nil"/>
            </w:tcBorders>
            <w:shd w:val="clear" w:color="auto" w:fill="auto"/>
          </w:tcPr>
          <w:p w:rsidRPr="001417F8" w:rsidR="00375E51" w:rsidP="00455CE1" w:rsidRDefault="00455CE1">
            <w:pPr>
              <w:jc w:val="right"/>
              <w:rPr>
                <w:sz w:val="20"/>
              </w:rPr>
            </w:pPr>
            <w:r w:rsidRPr="001417F8">
              <w:rPr>
                <w:sz w:val="20"/>
              </w:rPr>
              <w:fldChar w:fldCharType="begin"/>
            </w:r>
            <w:r w:rsidRPr="001417F8">
              <w:rPr>
                <w:sz w:val="20"/>
              </w:rPr>
              <w:instrText xml:space="preserve"> REF PlanInv \h  \* MERGEFORMAT </w:instrText>
            </w:r>
            <w:r w:rsidRPr="001417F8">
              <w:rPr>
                <w:sz w:val="20"/>
              </w:rPr>
            </w:r>
            <w:r w:rsidRPr="001417F8">
              <w:rPr>
                <w:sz w:val="20"/>
              </w:rPr>
              <w:fldChar w:fldCharType="separate"/>
            </w:r>
            <w:r w:rsidRPr="00D93A07" w:rsidR="00D93A07">
              <w:rPr>
                <w:sz w:val="20"/>
              </w:rPr>
              <w:t>3.039.560</w:t>
            </w:r>
            <w:r w:rsidRPr="001417F8">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1417F8" w:rsidR="00375E51" w:rsidP="00455CE1" w:rsidRDefault="00375E51">
            <w:r w:rsidRPr="001417F8">
              <w:rPr>
                <w:sz w:val="18"/>
                <w:szCs w:val="18"/>
              </w:rPr>
              <w:t>kr.</w:t>
            </w:r>
          </w:p>
        </w:tc>
        <w:tc>
          <w:tcPr>
            <w:tcW w:w="969" w:type="pct"/>
            <w:gridSpan w:val="3"/>
            <w:vMerge/>
            <w:tcBorders>
              <w:left w:val="nil"/>
              <w:bottom w:val="single" w:color="auto" w:sz="4" w:space="0"/>
              <w:right w:val="single" w:color="auto" w:sz="4" w:space="0"/>
            </w:tcBorders>
            <w:shd w:val="clear" w:color="auto" w:fill="auto"/>
          </w:tcPr>
          <w:p w:rsidRPr="001417F8" w:rsidR="00375E51" w:rsidP="00455CE1" w:rsidRDefault="00375E51">
            <w:pPr>
              <w:jc w:val="right"/>
              <w:rPr>
                <w:sz w:val="20"/>
              </w:rPr>
            </w:pPr>
          </w:p>
        </w:tc>
      </w:tr>
      <w:tr w:rsidRPr="001417F8" w:rsidR="00375E51" w:rsidTr="00BD5319">
        <w:tc>
          <w:tcPr>
            <w:tcW w:w="3066" w:type="pct"/>
            <w:tcBorders>
              <w:top w:val="single" w:color="auto" w:sz="4" w:space="0"/>
              <w:left w:val="single" w:color="auto" w:sz="4" w:space="0"/>
              <w:bottom w:val="single" w:color="auto" w:sz="4" w:space="0"/>
              <w:right w:val="single" w:color="auto" w:sz="4" w:space="0"/>
            </w:tcBorders>
            <w:shd w:val="pct12" w:color="auto" w:fill="auto"/>
          </w:tcPr>
          <w:p w:rsidRPr="00CB387F" w:rsidR="00375E51" w:rsidP="00455CE1" w:rsidRDefault="00375E51">
            <w:pPr>
              <w:rPr>
                <w:sz w:val="20"/>
              </w:rPr>
            </w:pPr>
            <w:r w:rsidRPr="00CB387F">
              <w:rPr>
                <w:sz w:val="20"/>
              </w:rPr>
              <w:t>Investeringstillæg i alt</w:t>
            </w:r>
            <w:r>
              <w:rPr>
                <w:sz w:val="20"/>
              </w:rPr>
              <w:t>*</w:t>
            </w:r>
          </w:p>
        </w:tc>
        <w:bookmarkStart w:name="InvIalt" w:id="3"/>
        <w:tc>
          <w:tcPr>
            <w:tcW w:w="721" w:type="pct"/>
            <w:tcBorders>
              <w:top w:val="single" w:color="auto" w:sz="4" w:space="0"/>
              <w:left w:val="single" w:color="auto" w:sz="4" w:space="0"/>
              <w:bottom w:val="single" w:color="auto" w:sz="4" w:space="0"/>
              <w:right w:val="nil"/>
            </w:tcBorders>
            <w:shd w:val="pct12" w:color="auto" w:fill="auto"/>
          </w:tcPr>
          <w:p w:rsidRPr="001417F8" w:rsidR="00375E51" w:rsidP="00455CE1" w:rsidRDefault="00455CE1">
            <w:pPr>
              <w:jc w:val="right"/>
              <w:rPr>
                <w:sz w:val="20"/>
              </w:rPr>
            </w:pPr>
            <w:r w:rsidRPr="001417F8">
              <w:rPr>
                <w:sz w:val="20"/>
              </w:rPr>
              <w:fldChar w:fldCharType="begin"/>
            </w:r>
            <w:r w:rsidRPr="001417F8">
              <w:rPr>
                <w:sz w:val="20"/>
              </w:rPr>
              <w:instrText xml:space="preserve"> =SUM(ABOVE) </w:instrText>
            </w:r>
            <w:r w:rsidRPr="001417F8">
              <w:rPr>
                <w:sz w:val="20"/>
              </w:rPr>
              <w:fldChar w:fldCharType="separate"/>
            </w:r>
            <w:r w:rsidR="00A578E8">
              <w:rPr>
                <w:noProof/>
                <w:sz w:val="20"/>
              </w:rPr>
              <w:t>44.691.110</w:t>
            </w:r>
            <w:r w:rsidRPr="001417F8">
              <w:rPr>
                <w:sz w:val="20"/>
              </w:rPr>
              <w:fldChar w:fldCharType="end"/>
            </w:r>
            <w:bookmarkEnd w:id="3"/>
          </w:p>
        </w:tc>
        <w:tc>
          <w:tcPr>
            <w:tcW w:w="244" w:type="pct"/>
            <w:tcBorders>
              <w:top w:val="single" w:color="auto" w:sz="4" w:space="0"/>
              <w:left w:val="nil"/>
              <w:bottom w:val="single" w:color="auto" w:sz="4" w:space="0"/>
              <w:right w:val="single" w:color="auto" w:sz="4" w:space="0"/>
            </w:tcBorders>
            <w:shd w:val="pct12" w:color="auto" w:fill="auto"/>
          </w:tcPr>
          <w:p w:rsidRPr="001417F8" w:rsidR="00375E51" w:rsidP="00455CE1" w:rsidRDefault="00375E51">
            <w:pPr>
              <w:rPr>
                <w:sz w:val="18"/>
                <w:szCs w:val="18"/>
              </w:rPr>
            </w:pPr>
            <w:r w:rsidRPr="001417F8">
              <w:rPr>
                <w:sz w:val="18"/>
                <w:szCs w:val="18"/>
              </w:rPr>
              <w:t>kr.</w:t>
            </w:r>
          </w:p>
        </w:tc>
        <w:tc>
          <w:tcPr>
            <w:tcW w:w="688" w:type="pct"/>
            <w:tcBorders>
              <w:top w:val="single" w:color="auto" w:sz="4" w:space="0"/>
              <w:left w:val="nil"/>
              <w:bottom w:val="single" w:color="auto" w:sz="4" w:space="0"/>
              <w:right w:val="single" w:color="auto" w:sz="4" w:space="0"/>
            </w:tcBorders>
            <w:shd w:val="pct12" w:color="auto" w:fill="auto"/>
          </w:tcPr>
          <w:p w:rsidRPr="001417F8" w:rsidR="00375E51" w:rsidP="00455CE1" w:rsidRDefault="00455CE1">
            <w:pPr>
              <w:jc w:val="right"/>
              <w:rPr>
                <w:sz w:val="20"/>
              </w:rPr>
            </w:pPr>
            <w:r w:rsidRPr="001417F8">
              <w:rPr>
                <w:sz w:val="20"/>
              </w:rPr>
              <w:fldChar w:fldCharType="begin"/>
            </w:r>
            <w:r w:rsidRPr="001417F8">
              <w:rPr>
                <w:sz w:val="20"/>
              </w:rPr>
              <w:instrText xml:space="preserve"> REF InvIalt \h </w:instrText>
            </w:r>
            <w:r w:rsidRPr="001417F8">
              <w:rPr>
                <w:sz w:val="20"/>
              </w:rPr>
            </w:r>
            <w:r w:rsidRPr="001417F8">
              <w:rPr>
                <w:sz w:val="20"/>
              </w:rPr>
              <w:fldChar w:fldCharType="separate"/>
            </w:r>
            <w:r w:rsidR="00D93A07">
              <w:rPr>
                <w:noProof/>
                <w:sz w:val="20"/>
              </w:rPr>
              <w:t>44.691.110</w:t>
            </w:r>
            <w:r w:rsidRPr="001417F8">
              <w:rPr>
                <w:sz w:val="20"/>
              </w:rPr>
              <w:fldChar w:fldCharType="end"/>
            </w:r>
          </w:p>
        </w:tc>
        <w:tc>
          <w:tcPr>
            <w:tcW w:w="281" w:type="pct"/>
            <w:gridSpan w:val="2"/>
            <w:tcBorders>
              <w:top w:val="single" w:color="auto" w:sz="4" w:space="0"/>
              <w:left w:val="nil"/>
              <w:bottom w:val="single" w:color="auto" w:sz="4" w:space="0"/>
              <w:right w:val="single" w:color="auto" w:sz="4" w:space="0"/>
            </w:tcBorders>
            <w:shd w:val="pct12" w:color="auto" w:fill="auto"/>
          </w:tcPr>
          <w:p w:rsidRPr="001417F8" w:rsidR="00375E51" w:rsidP="00455CE1" w:rsidRDefault="00375E51">
            <w:pPr>
              <w:rPr>
                <w:sz w:val="18"/>
                <w:szCs w:val="18"/>
              </w:rPr>
            </w:pPr>
            <w:r w:rsidRPr="001417F8">
              <w:rPr>
                <w:sz w:val="18"/>
                <w:szCs w:val="18"/>
              </w:rPr>
              <w:t>kr.</w:t>
            </w:r>
          </w:p>
        </w:tc>
      </w:tr>
      <w:tr w:rsidRPr="001417F8" w:rsidR="00375E51" w:rsidTr="00BD5319">
        <w:tc>
          <w:tcPr>
            <w:tcW w:w="3066"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rPr>
                <w:b/>
                <w:sz w:val="20"/>
              </w:rPr>
            </w:pPr>
            <w:r w:rsidRPr="00CB387F">
              <w:rPr>
                <w:b/>
                <w:sz w:val="20"/>
              </w:rPr>
              <w:t>Øvrige omkostninger mv.</w:t>
            </w:r>
          </w:p>
        </w:tc>
        <w:tc>
          <w:tcPr>
            <w:tcW w:w="721" w:type="pct"/>
            <w:tcBorders>
              <w:top w:val="single" w:color="auto" w:sz="4" w:space="0"/>
              <w:left w:val="single" w:color="auto" w:sz="4" w:space="0"/>
              <w:bottom w:val="single" w:color="auto" w:sz="4" w:space="0"/>
              <w:right w:val="single" w:color="auto" w:sz="4" w:space="0"/>
            </w:tcBorders>
            <w:shd w:val="solid" w:color="auto" w:fill="auto"/>
          </w:tcPr>
          <w:p w:rsidRPr="001417F8" w:rsidR="00375E51" w:rsidP="00455CE1" w:rsidRDefault="00375E51">
            <w:pPr>
              <w:jc w:val="center"/>
              <w:rPr>
                <w:b/>
                <w:sz w:val="20"/>
              </w:rPr>
            </w:pPr>
          </w:p>
        </w:tc>
        <w:tc>
          <w:tcPr>
            <w:tcW w:w="244" w:type="pct"/>
            <w:tcBorders>
              <w:top w:val="single" w:color="auto" w:sz="4" w:space="0"/>
              <w:left w:val="single" w:color="auto" w:sz="4" w:space="0"/>
              <w:bottom w:val="single" w:color="auto" w:sz="4" w:space="0"/>
              <w:right w:val="single" w:color="auto" w:sz="4" w:space="0"/>
            </w:tcBorders>
            <w:shd w:val="solid" w:color="auto" w:fill="auto"/>
          </w:tcPr>
          <w:p w:rsidRPr="001417F8" w:rsidR="00375E51" w:rsidP="00455CE1" w:rsidRDefault="00375E51">
            <w:pPr>
              <w:jc w:val="center"/>
              <w:rPr>
                <w:b/>
                <w:sz w:val="20"/>
              </w:rPr>
            </w:pPr>
          </w:p>
        </w:tc>
        <w:tc>
          <w:tcPr>
            <w:tcW w:w="688" w:type="pct"/>
            <w:tcBorders>
              <w:top w:val="single" w:color="auto" w:sz="4" w:space="0"/>
              <w:left w:val="single" w:color="auto" w:sz="4" w:space="0"/>
              <w:bottom w:val="single" w:color="auto" w:sz="4" w:space="0"/>
              <w:right w:val="single" w:color="auto" w:sz="4" w:space="0"/>
            </w:tcBorders>
            <w:shd w:val="solid" w:color="auto" w:fill="auto"/>
          </w:tcPr>
          <w:p w:rsidRPr="001417F8" w:rsidR="00375E51" w:rsidP="00455CE1" w:rsidRDefault="00375E51">
            <w:pPr>
              <w:jc w:val="center"/>
              <w:rPr>
                <w:b/>
                <w:sz w:val="20"/>
              </w:rPr>
            </w:pPr>
          </w:p>
        </w:tc>
        <w:tc>
          <w:tcPr>
            <w:tcW w:w="281" w:type="pct"/>
            <w:gridSpan w:val="2"/>
            <w:tcBorders>
              <w:top w:val="single" w:color="auto" w:sz="4" w:space="0"/>
              <w:left w:val="single" w:color="auto" w:sz="4" w:space="0"/>
              <w:bottom w:val="single" w:color="auto" w:sz="4" w:space="0"/>
              <w:right w:val="single" w:color="auto" w:sz="4" w:space="0"/>
            </w:tcBorders>
            <w:shd w:val="solid" w:color="auto" w:fill="auto"/>
          </w:tcPr>
          <w:p w:rsidRPr="001417F8" w:rsidR="00375E51" w:rsidP="00455CE1" w:rsidRDefault="00375E51">
            <w:pPr>
              <w:jc w:val="center"/>
              <w:rPr>
                <w:b/>
                <w:sz w:val="20"/>
              </w:rPr>
            </w:pPr>
          </w:p>
        </w:tc>
      </w:tr>
      <w:tr w:rsidRPr="001417F8" w:rsidR="00375E51" w:rsidTr="00BD5319">
        <w:tc>
          <w:tcPr>
            <w:tcW w:w="3066"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Tillæg for 1:1 omkostninger i 201</w:t>
            </w:r>
            <w:r>
              <w:rPr>
                <w:sz w:val="20"/>
              </w:rPr>
              <w:t>4</w:t>
            </w:r>
          </w:p>
        </w:tc>
        <w:tc>
          <w:tcPr>
            <w:tcW w:w="721" w:type="pct"/>
            <w:tcBorders>
              <w:top w:val="single" w:color="auto" w:sz="4" w:space="0"/>
              <w:left w:val="single" w:color="auto" w:sz="4" w:space="0"/>
              <w:bottom w:val="single" w:color="auto" w:sz="4" w:space="0"/>
              <w:right w:val="nil"/>
            </w:tcBorders>
            <w:shd w:val="clear" w:color="auto" w:fill="auto"/>
          </w:tcPr>
          <w:p w:rsidRPr="001417F8" w:rsidR="00375E51" w:rsidP="00455CE1" w:rsidRDefault="00455CE1">
            <w:pPr>
              <w:jc w:val="right"/>
              <w:rPr>
                <w:sz w:val="20"/>
              </w:rPr>
            </w:pPr>
            <w:r w:rsidRPr="001417F8">
              <w:rPr>
                <w:sz w:val="20"/>
              </w:rPr>
              <w:fldChar w:fldCharType="begin"/>
            </w:r>
            <w:r w:rsidRPr="001417F8">
              <w:rPr>
                <w:sz w:val="20"/>
              </w:rPr>
              <w:instrText xml:space="preserve"> REF EnTilEnOmk \h  \* MERGEFORMAT </w:instrText>
            </w:r>
            <w:r w:rsidRPr="001417F8">
              <w:rPr>
                <w:sz w:val="20"/>
              </w:rPr>
            </w:r>
            <w:r w:rsidRPr="001417F8">
              <w:rPr>
                <w:sz w:val="20"/>
              </w:rPr>
              <w:fldChar w:fldCharType="separate"/>
            </w:r>
            <w:r w:rsidRPr="00D93A07" w:rsidR="00D93A07">
              <w:rPr>
                <w:sz w:val="20"/>
              </w:rPr>
              <w:t>12.347.848</w:t>
            </w:r>
            <w:r w:rsidRPr="001417F8">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1417F8" w:rsidR="00375E51" w:rsidP="00455CE1" w:rsidRDefault="00375E51">
            <w:r w:rsidRPr="001417F8">
              <w:rPr>
                <w:sz w:val="18"/>
                <w:szCs w:val="18"/>
              </w:rPr>
              <w:t>kr.</w:t>
            </w:r>
          </w:p>
        </w:tc>
        <w:tc>
          <w:tcPr>
            <w:tcW w:w="969" w:type="pct"/>
            <w:gridSpan w:val="3"/>
            <w:vMerge w:val="restart"/>
            <w:tcBorders>
              <w:top w:val="single" w:color="auto" w:sz="4" w:space="0"/>
              <w:left w:val="nil"/>
              <w:right w:val="single" w:color="auto" w:sz="4" w:space="0"/>
            </w:tcBorders>
            <w:shd w:val="clear" w:color="auto" w:fill="auto"/>
          </w:tcPr>
          <w:p w:rsidRPr="001417F8" w:rsidR="00375E51" w:rsidP="00455CE1" w:rsidRDefault="00375E51">
            <w:pPr>
              <w:rPr>
                <w:sz w:val="18"/>
                <w:szCs w:val="18"/>
              </w:rPr>
            </w:pPr>
          </w:p>
        </w:tc>
      </w:tr>
      <w:tr w:rsidRPr="001417F8" w:rsidR="00375E51" w:rsidTr="00BD5319">
        <w:tc>
          <w:tcPr>
            <w:tcW w:w="3066"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Tillæg vedr. revisorerklæringer og DANVA/FVD-kontingent</w:t>
            </w:r>
          </w:p>
        </w:tc>
        <w:tc>
          <w:tcPr>
            <w:tcW w:w="721" w:type="pct"/>
            <w:tcBorders>
              <w:top w:val="single" w:color="auto" w:sz="4" w:space="0"/>
              <w:left w:val="single" w:color="auto" w:sz="4" w:space="0"/>
              <w:bottom w:val="single" w:color="auto" w:sz="4" w:space="0"/>
              <w:right w:val="nil"/>
            </w:tcBorders>
            <w:shd w:val="clear" w:color="auto" w:fill="auto"/>
          </w:tcPr>
          <w:p w:rsidRPr="001417F8" w:rsidR="00375E51" w:rsidP="00455CE1" w:rsidRDefault="00455CE1">
            <w:pPr>
              <w:jc w:val="right"/>
              <w:rPr>
                <w:sz w:val="20"/>
              </w:rPr>
            </w:pPr>
            <w:r w:rsidRPr="001417F8">
              <w:rPr>
                <w:sz w:val="20"/>
              </w:rPr>
              <w:fldChar w:fldCharType="begin"/>
            </w:r>
            <w:r w:rsidRPr="001417F8">
              <w:rPr>
                <w:sz w:val="20"/>
              </w:rPr>
              <w:instrText xml:space="preserve"> REF RevDanvaFvd \h  \* MERGEFORMAT </w:instrText>
            </w:r>
            <w:r w:rsidRPr="001417F8">
              <w:rPr>
                <w:sz w:val="20"/>
              </w:rPr>
            </w:r>
            <w:r w:rsidRPr="001417F8">
              <w:rPr>
                <w:sz w:val="20"/>
              </w:rPr>
              <w:fldChar w:fldCharType="separate"/>
            </w:r>
            <w:r w:rsidRPr="00D93A07" w:rsidR="00D93A07">
              <w:rPr>
                <w:sz w:val="20"/>
              </w:rPr>
              <w:t>195.000</w:t>
            </w:r>
            <w:r w:rsidRPr="001417F8">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1417F8" w:rsidR="00375E51" w:rsidP="00455CE1" w:rsidRDefault="00375E51">
            <w:r w:rsidRPr="001417F8">
              <w:rPr>
                <w:sz w:val="18"/>
                <w:szCs w:val="18"/>
              </w:rPr>
              <w:t>kr.</w:t>
            </w:r>
          </w:p>
        </w:tc>
        <w:tc>
          <w:tcPr>
            <w:tcW w:w="969" w:type="pct"/>
            <w:gridSpan w:val="3"/>
            <w:vMerge/>
            <w:tcBorders>
              <w:left w:val="nil"/>
              <w:right w:val="single" w:color="auto" w:sz="4" w:space="0"/>
            </w:tcBorders>
            <w:shd w:val="clear" w:color="auto" w:fill="auto"/>
          </w:tcPr>
          <w:p w:rsidRPr="001417F8" w:rsidR="00375E51" w:rsidP="00455CE1" w:rsidRDefault="00375E51">
            <w:pPr>
              <w:jc w:val="right"/>
              <w:rPr>
                <w:sz w:val="20"/>
              </w:rPr>
            </w:pPr>
          </w:p>
        </w:tc>
      </w:tr>
      <w:tr w:rsidRPr="001417F8" w:rsidR="00375E51" w:rsidTr="00BD5319">
        <w:tc>
          <w:tcPr>
            <w:tcW w:w="3066"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Korrektion ift. faktiske 1:1 omkostninger i 201</w:t>
            </w:r>
            <w:r>
              <w:rPr>
                <w:sz w:val="20"/>
              </w:rPr>
              <w:t>2</w:t>
            </w:r>
          </w:p>
        </w:tc>
        <w:tc>
          <w:tcPr>
            <w:tcW w:w="721" w:type="pct"/>
            <w:tcBorders>
              <w:top w:val="single" w:color="auto" w:sz="4" w:space="0"/>
              <w:left w:val="single" w:color="auto" w:sz="4" w:space="0"/>
              <w:bottom w:val="single" w:color="auto" w:sz="4" w:space="0"/>
              <w:right w:val="nil"/>
            </w:tcBorders>
            <w:shd w:val="clear" w:color="auto" w:fill="auto"/>
          </w:tcPr>
          <w:p w:rsidRPr="001417F8" w:rsidR="00375E51" w:rsidP="00455CE1" w:rsidRDefault="00455CE1">
            <w:pPr>
              <w:jc w:val="right"/>
              <w:rPr>
                <w:sz w:val="20"/>
              </w:rPr>
            </w:pPr>
            <w:r w:rsidRPr="001417F8">
              <w:rPr>
                <w:sz w:val="20"/>
              </w:rPr>
              <w:fldChar w:fldCharType="begin"/>
            </w:r>
            <w:r w:rsidRPr="001417F8">
              <w:rPr>
                <w:sz w:val="20"/>
              </w:rPr>
              <w:instrText xml:space="preserve"> REF KorrEnTilEn \h  \* MERGEFORMAT </w:instrText>
            </w:r>
            <w:r w:rsidRPr="001417F8">
              <w:rPr>
                <w:sz w:val="20"/>
              </w:rPr>
            </w:r>
            <w:r w:rsidRPr="001417F8">
              <w:rPr>
                <w:sz w:val="20"/>
              </w:rPr>
              <w:fldChar w:fldCharType="separate"/>
            </w:r>
            <w:r w:rsidRPr="00D93A07" w:rsidR="00D93A07">
              <w:rPr>
                <w:sz w:val="20"/>
              </w:rPr>
              <w:t>-122.390</w:t>
            </w:r>
            <w:r w:rsidRPr="001417F8">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1417F8" w:rsidR="00375E51" w:rsidP="00455CE1" w:rsidRDefault="00375E51">
            <w:r w:rsidRPr="001417F8">
              <w:rPr>
                <w:sz w:val="18"/>
                <w:szCs w:val="18"/>
              </w:rPr>
              <w:t>kr.</w:t>
            </w:r>
          </w:p>
        </w:tc>
        <w:tc>
          <w:tcPr>
            <w:tcW w:w="969" w:type="pct"/>
            <w:gridSpan w:val="3"/>
            <w:vMerge/>
            <w:tcBorders>
              <w:left w:val="nil"/>
              <w:right w:val="single" w:color="auto" w:sz="4" w:space="0"/>
            </w:tcBorders>
            <w:shd w:val="clear" w:color="auto" w:fill="auto"/>
          </w:tcPr>
          <w:p w:rsidRPr="001417F8" w:rsidR="00375E51" w:rsidP="00455CE1" w:rsidRDefault="00375E51">
            <w:pPr>
              <w:jc w:val="right"/>
              <w:rPr>
                <w:sz w:val="20"/>
              </w:rPr>
            </w:pPr>
          </w:p>
        </w:tc>
      </w:tr>
      <w:tr w:rsidRPr="001417F8" w:rsidR="00375E51" w:rsidTr="00BD5319">
        <w:tc>
          <w:tcPr>
            <w:tcW w:w="3066" w:type="pct"/>
            <w:tcBorders>
              <w:top w:val="single" w:color="auto" w:sz="4" w:space="0"/>
              <w:left w:val="single" w:color="auto" w:sz="4" w:space="0"/>
              <w:bottom w:val="single" w:color="auto" w:sz="4" w:space="0"/>
              <w:right w:val="single" w:color="auto" w:sz="4" w:space="0"/>
            </w:tcBorders>
            <w:shd w:val="clear" w:color="auto" w:fill="auto"/>
          </w:tcPr>
          <w:p w:rsidRPr="00CB387F" w:rsidR="00375E51" w:rsidP="00455CE1" w:rsidRDefault="00375E51">
            <w:pPr>
              <w:rPr>
                <w:sz w:val="20"/>
              </w:rPr>
            </w:pPr>
            <w:r w:rsidRPr="00CB387F">
              <w:rPr>
                <w:sz w:val="20"/>
              </w:rPr>
              <w:t>Tillæg for driftsomkostninger til miljø- og servicemål i 201</w:t>
            </w:r>
            <w:r>
              <w:rPr>
                <w:sz w:val="20"/>
              </w:rPr>
              <w:t>4</w:t>
            </w:r>
          </w:p>
        </w:tc>
        <w:tc>
          <w:tcPr>
            <w:tcW w:w="721" w:type="pct"/>
            <w:tcBorders>
              <w:top w:val="single" w:color="auto" w:sz="4" w:space="0"/>
              <w:left w:val="single" w:color="auto" w:sz="4" w:space="0"/>
              <w:bottom w:val="single" w:color="auto" w:sz="4" w:space="0"/>
              <w:right w:val="nil"/>
            </w:tcBorders>
            <w:shd w:val="clear" w:color="auto" w:fill="auto"/>
          </w:tcPr>
          <w:p w:rsidRPr="001417F8" w:rsidR="00375E51" w:rsidP="00455CE1" w:rsidRDefault="00455CE1">
            <w:pPr>
              <w:jc w:val="right"/>
              <w:rPr>
                <w:sz w:val="20"/>
              </w:rPr>
            </w:pPr>
            <w:r w:rsidRPr="001417F8">
              <w:rPr>
                <w:sz w:val="20"/>
              </w:rPr>
              <w:fldChar w:fldCharType="begin"/>
            </w:r>
            <w:r w:rsidRPr="001417F8">
              <w:rPr>
                <w:sz w:val="20"/>
              </w:rPr>
              <w:instrText xml:space="preserve"> REF Mogs \h  \* MERGEFORMAT </w:instrText>
            </w:r>
            <w:r w:rsidRPr="001417F8">
              <w:rPr>
                <w:sz w:val="20"/>
              </w:rPr>
            </w:r>
            <w:r w:rsidRPr="001417F8">
              <w:rPr>
                <w:sz w:val="20"/>
              </w:rPr>
              <w:fldChar w:fldCharType="separate"/>
            </w:r>
            <w:r w:rsidRPr="00D93A07" w:rsidR="00D93A07">
              <w:rPr>
                <w:sz w:val="20"/>
              </w:rPr>
              <w:t>0</w:t>
            </w:r>
            <w:r w:rsidRPr="001417F8">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1417F8" w:rsidR="00375E51" w:rsidP="00455CE1" w:rsidRDefault="00375E51">
            <w:r w:rsidRPr="001417F8">
              <w:rPr>
                <w:sz w:val="18"/>
                <w:szCs w:val="18"/>
              </w:rPr>
              <w:t>kr.</w:t>
            </w:r>
          </w:p>
        </w:tc>
        <w:tc>
          <w:tcPr>
            <w:tcW w:w="969" w:type="pct"/>
            <w:gridSpan w:val="3"/>
            <w:vMerge/>
            <w:tcBorders>
              <w:left w:val="nil"/>
              <w:right w:val="single" w:color="auto" w:sz="4" w:space="0"/>
            </w:tcBorders>
            <w:shd w:val="clear" w:color="auto" w:fill="auto"/>
          </w:tcPr>
          <w:p w:rsidRPr="001417F8" w:rsidR="00375E51" w:rsidP="00455CE1" w:rsidRDefault="00375E51">
            <w:pPr>
              <w:jc w:val="right"/>
              <w:rPr>
                <w:sz w:val="20"/>
              </w:rPr>
            </w:pPr>
          </w:p>
        </w:tc>
      </w:tr>
      <w:tr w:rsidRPr="001417F8" w:rsidR="00D95804" w:rsidTr="00BD5319">
        <w:tc>
          <w:tcPr>
            <w:tcW w:w="3066" w:type="pct"/>
            <w:tcBorders>
              <w:top w:val="single" w:color="auto" w:sz="4" w:space="0"/>
              <w:left w:val="single" w:color="auto" w:sz="4" w:space="0"/>
              <w:bottom w:val="single" w:color="auto" w:sz="4" w:space="0"/>
              <w:right w:val="single" w:color="auto" w:sz="4" w:space="0"/>
            </w:tcBorders>
            <w:shd w:val="clear" w:color="auto" w:fill="auto"/>
          </w:tcPr>
          <w:p w:rsidRPr="00CB387F" w:rsidR="00D95804" w:rsidP="00455CE1" w:rsidRDefault="00D95804">
            <w:pPr>
              <w:rPr>
                <w:sz w:val="20"/>
              </w:rPr>
            </w:pPr>
            <w:r w:rsidRPr="00DB60A4">
              <w:rPr>
                <w:sz w:val="20"/>
              </w:rPr>
              <w:t>Tillæg for omkostninger til medfinansiering af klimatilpa</w:t>
            </w:r>
            <w:r w:rsidRPr="00DB60A4">
              <w:rPr>
                <w:sz w:val="20"/>
              </w:rPr>
              <w:t>s</w:t>
            </w:r>
            <w:r w:rsidRPr="00DB60A4">
              <w:rPr>
                <w:sz w:val="20"/>
              </w:rPr>
              <w:t>ningsprojekter</w:t>
            </w:r>
          </w:p>
        </w:tc>
        <w:tc>
          <w:tcPr>
            <w:tcW w:w="721" w:type="pct"/>
            <w:tcBorders>
              <w:top w:val="single" w:color="auto" w:sz="4" w:space="0"/>
              <w:left w:val="single" w:color="auto" w:sz="4" w:space="0"/>
              <w:bottom w:val="single" w:color="auto" w:sz="4" w:space="0"/>
              <w:right w:val="nil"/>
            </w:tcBorders>
            <w:shd w:val="clear" w:color="auto" w:fill="auto"/>
          </w:tcPr>
          <w:p w:rsidRPr="001417F8" w:rsidR="00D95804" w:rsidP="00455CE1" w:rsidRDefault="00D95804">
            <w:pPr>
              <w:jc w:val="right"/>
              <w:rPr>
                <w:sz w:val="20"/>
              </w:rPr>
            </w:pPr>
            <w:r w:rsidRPr="001417F8">
              <w:rPr>
                <w:sz w:val="20"/>
              </w:rPr>
              <w:fldChar w:fldCharType="begin"/>
            </w:r>
            <w:r w:rsidRPr="001417F8">
              <w:rPr>
                <w:sz w:val="20"/>
              </w:rPr>
              <w:instrText xml:space="preserve"> REF klimaMogs \h  \* MERGEFORMAT </w:instrText>
            </w:r>
            <w:r w:rsidRPr="001417F8">
              <w:rPr>
                <w:sz w:val="20"/>
              </w:rPr>
            </w:r>
            <w:r w:rsidRPr="001417F8">
              <w:rPr>
                <w:sz w:val="20"/>
              </w:rPr>
              <w:fldChar w:fldCharType="separate"/>
            </w:r>
            <w:r w:rsidRPr="00D93A07" w:rsidR="00D93A07">
              <w:rPr>
                <w:sz w:val="20"/>
              </w:rPr>
              <w:t>0</w:t>
            </w:r>
            <w:r w:rsidRPr="001417F8">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1417F8" w:rsidR="00D95804" w:rsidP="006E26AE" w:rsidRDefault="00D95804">
            <w:r w:rsidRPr="001417F8">
              <w:rPr>
                <w:sz w:val="18"/>
                <w:szCs w:val="18"/>
              </w:rPr>
              <w:t>kr.</w:t>
            </w:r>
          </w:p>
        </w:tc>
        <w:tc>
          <w:tcPr>
            <w:tcW w:w="969" w:type="pct"/>
            <w:gridSpan w:val="3"/>
            <w:vMerge/>
            <w:tcBorders>
              <w:left w:val="nil"/>
              <w:right w:val="single" w:color="auto" w:sz="4" w:space="0"/>
            </w:tcBorders>
            <w:shd w:val="clear" w:color="auto" w:fill="auto"/>
          </w:tcPr>
          <w:p w:rsidRPr="001417F8" w:rsidR="00D95804" w:rsidP="00455CE1" w:rsidRDefault="00D95804">
            <w:pPr>
              <w:jc w:val="right"/>
              <w:rPr>
                <w:sz w:val="20"/>
              </w:rPr>
            </w:pPr>
          </w:p>
        </w:tc>
      </w:tr>
      <w:tr w:rsidRPr="001417F8" w:rsidR="00D95804" w:rsidTr="00BD5319">
        <w:tc>
          <w:tcPr>
            <w:tcW w:w="3066" w:type="pct"/>
            <w:tcBorders>
              <w:top w:val="single" w:color="auto" w:sz="4" w:space="0"/>
              <w:left w:val="single" w:color="auto" w:sz="4" w:space="0"/>
              <w:bottom w:val="single" w:color="auto" w:sz="4" w:space="0"/>
              <w:right w:val="single" w:color="auto" w:sz="4" w:space="0"/>
            </w:tcBorders>
            <w:shd w:val="clear" w:color="auto" w:fill="auto"/>
          </w:tcPr>
          <w:p w:rsidRPr="00CB387F" w:rsidR="00D95804" w:rsidP="00455CE1" w:rsidRDefault="00D95804">
            <w:pPr>
              <w:rPr>
                <w:sz w:val="20"/>
              </w:rPr>
            </w:pPr>
            <w:r w:rsidRPr="00CB387F">
              <w:rPr>
                <w:sz w:val="20"/>
              </w:rPr>
              <w:t>Korrektion ift. faktiske driftsomk. til miljø- og servicemål 201</w:t>
            </w:r>
            <w:r>
              <w:rPr>
                <w:sz w:val="20"/>
              </w:rPr>
              <w:t>2</w:t>
            </w:r>
          </w:p>
        </w:tc>
        <w:tc>
          <w:tcPr>
            <w:tcW w:w="721" w:type="pct"/>
            <w:tcBorders>
              <w:top w:val="single" w:color="auto" w:sz="4" w:space="0"/>
              <w:left w:val="single" w:color="auto" w:sz="4" w:space="0"/>
              <w:bottom w:val="single" w:color="auto" w:sz="4" w:space="0"/>
              <w:right w:val="nil"/>
            </w:tcBorders>
            <w:shd w:val="clear" w:color="auto" w:fill="auto"/>
          </w:tcPr>
          <w:p w:rsidRPr="001417F8" w:rsidR="00D95804" w:rsidP="00455CE1" w:rsidRDefault="00D95804">
            <w:pPr>
              <w:jc w:val="right"/>
              <w:rPr>
                <w:sz w:val="20"/>
              </w:rPr>
            </w:pPr>
            <w:r w:rsidRPr="001417F8">
              <w:rPr>
                <w:sz w:val="20"/>
              </w:rPr>
              <w:fldChar w:fldCharType="begin"/>
            </w:r>
            <w:r w:rsidRPr="001417F8">
              <w:rPr>
                <w:sz w:val="20"/>
              </w:rPr>
              <w:instrText xml:space="preserve"> REF KorrMogs \h  \* MERGEFORMAT </w:instrText>
            </w:r>
            <w:r w:rsidRPr="001417F8">
              <w:rPr>
                <w:sz w:val="20"/>
              </w:rPr>
            </w:r>
            <w:r w:rsidRPr="001417F8">
              <w:rPr>
                <w:sz w:val="20"/>
              </w:rPr>
              <w:fldChar w:fldCharType="separate"/>
            </w:r>
            <w:r w:rsidRPr="00D93A07" w:rsidR="00D93A07">
              <w:rPr>
                <w:sz w:val="20"/>
              </w:rPr>
              <w:t>0</w:t>
            </w:r>
            <w:r w:rsidRPr="001417F8">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1417F8" w:rsidR="00D95804" w:rsidP="00455CE1" w:rsidRDefault="00D95804">
            <w:r w:rsidRPr="001417F8">
              <w:rPr>
                <w:sz w:val="18"/>
                <w:szCs w:val="18"/>
              </w:rPr>
              <w:t>kr.</w:t>
            </w:r>
          </w:p>
        </w:tc>
        <w:tc>
          <w:tcPr>
            <w:tcW w:w="969" w:type="pct"/>
            <w:gridSpan w:val="3"/>
            <w:vMerge/>
            <w:tcBorders>
              <w:left w:val="nil"/>
              <w:right w:val="single" w:color="auto" w:sz="4" w:space="0"/>
            </w:tcBorders>
            <w:shd w:val="clear" w:color="auto" w:fill="auto"/>
          </w:tcPr>
          <w:p w:rsidRPr="001417F8" w:rsidR="00D95804" w:rsidP="00455CE1" w:rsidRDefault="00D95804">
            <w:pPr>
              <w:jc w:val="right"/>
              <w:rPr>
                <w:sz w:val="20"/>
              </w:rPr>
            </w:pPr>
          </w:p>
        </w:tc>
      </w:tr>
      <w:tr w:rsidRPr="001417F8" w:rsidR="00D95804" w:rsidTr="00BD5319">
        <w:tc>
          <w:tcPr>
            <w:tcW w:w="3066" w:type="pct"/>
            <w:tcBorders>
              <w:top w:val="single" w:color="auto" w:sz="4" w:space="0"/>
              <w:left w:val="single" w:color="auto" w:sz="4" w:space="0"/>
              <w:bottom w:val="single" w:color="auto" w:sz="4" w:space="0"/>
              <w:right w:val="single" w:color="auto" w:sz="4" w:space="0"/>
            </w:tcBorders>
            <w:shd w:val="clear" w:color="auto" w:fill="auto"/>
          </w:tcPr>
          <w:p w:rsidRPr="00CB387F" w:rsidR="00D95804" w:rsidP="00455CE1" w:rsidRDefault="00D95804">
            <w:pPr>
              <w:rPr>
                <w:sz w:val="20"/>
              </w:rPr>
            </w:pPr>
            <w:r w:rsidRPr="00CB387F">
              <w:rPr>
                <w:sz w:val="20"/>
              </w:rPr>
              <w:t>Tillæg/fradrag for nettofinansielle poster i 201</w:t>
            </w:r>
            <w:r>
              <w:rPr>
                <w:sz w:val="20"/>
              </w:rPr>
              <w:t>4</w:t>
            </w:r>
          </w:p>
        </w:tc>
        <w:tc>
          <w:tcPr>
            <w:tcW w:w="721" w:type="pct"/>
            <w:tcBorders>
              <w:top w:val="single" w:color="auto" w:sz="4" w:space="0"/>
              <w:left w:val="single" w:color="auto" w:sz="4" w:space="0"/>
              <w:bottom w:val="single" w:color="auto" w:sz="4" w:space="0"/>
              <w:right w:val="nil"/>
            </w:tcBorders>
            <w:shd w:val="clear" w:color="auto" w:fill="auto"/>
          </w:tcPr>
          <w:p w:rsidRPr="001417F8" w:rsidR="00D95804" w:rsidP="00455CE1" w:rsidRDefault="00D95804">
            <w:pPr>
              <w:jc w:val="right"/>
              <w:rPr>
                <w:sz w:val="20"/>
              </w:rPr>
            </w:pPr>
            <w:r w:rsidRPr="001417F8">
              <w:rPr>
                <w:sz w:val="20"/>
              </w:rPr>
              <w:fldChar w:fldCharType="begin"/>
            </w:r>
            <w:r w:rsidRPr="001417F8">
              <w:rPr>
                <w:sz w:val="20"/>
              </w:rPr>
              <w:instrText xml:space="preserve"> REF NetFin \h  \* MERGEFORMAT </w:instrText>
            </w:r>
            <w:r w:rsidRPr="001417F8">
              <w:rPr>
                <w:sz w:val="20"/>
              </w:rPr>
            </w:r>
            <w:r w:rsidRPr="001417F8">
              <w:rPr>
                <w:sz w:val="20"/>
              </w:rPr>
              <w:fldChar w:fldCharType="separate"/>
            </w:r>
            <w:r w:rsidRPr="00D93A07" w:rsidR="00D93A07">
              <w:rPr>
                <w:sz w:val="20"/>
              </w:rPr>
              <w:t>845.000</w:t>
            </w:r>
            <w:r w:rsidRPr="001417F8">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1417F8" w:rsidR="00D95804" w:rsidP="00455CE1" w:rsidRDefault="00D95804">
            <w:r w:rsidRPr="001417F8">
              <w:rPr>
                <w:sz w:val="18"/>
                <w:szCs w:val="18"/>
              </w:rPr>
              <w:t>kr.</w:t>
            </w:r>
          </w:p>
        </w:tc>
        <w:tc>
          <w:tcPr>
            <w:tcW w:w="969" w:type="pct"/>
            <w:gridSpan w:val="3"/>
            <w:vMerge/>
            <w:tcBorders>
              <w:left w:val="nil"/>
              <w:right w:val="single" w:color="auto" w:sz="4" w:space="0"/>
            </w:tcBorders>
            <w:shd w:val="clear" w:color="auto" w:fill="auto"/>
          </w:tcPr>
          <w:p w:rsidRPr="001417F8" w:rsidR="00D95804" w:rsidP="00455CE1" w:rsidRDefault="00D95804">
            <w:pPr>
              <w:jc w:val="right"/>
              <w:rPr>
                <w:sz w:val="20"/>
              </w:rPr>
            </w:pPr>
          </w:p>
        </w:tc>
      </w:tr>
      <w:tr w:rsidRPr="001417F8" w:rsidR="00D95804" w:rsidTr="00BD5319">
        <w:tc>
          <w:tcPr>
            <w:tcW w:w="3066" w:type="pct"/>
            <w:tcBorders>
              <w:top w:val="single" w:color="auto" w:sz="4" w:space="0"/>
              <w:left w:val="single" w:color="auto" w:sz="4" w:space="0"/>
              <w:bottom w:val="single" w:color="auto" w:sz="4" w:space="0"/>
              <w:right w:val="single" w:color="auto" w:sz="4" w:space="0"/>
            </w:tcBorders>
            <w:shd w:val="clear" w:color="auto" w:fill="auto"/>
          </w:tcPr>
          <w:p w:rsidRPr="00CB387F" w:rsidR="00D95804" w:rsidP="00455CE1" w:rsidRDefault="00D95804">
            <w:pPr>
              <w:rPr>
                <w:sz w:val="20"/>
              </w:rPr>
            </w:pPr>
            <w:r w:rsidRPr="00CB387F">
              <w:rPr>
                <w:sz w:val="20"/>
              </w:rPr>
              <w:t>Korrektion ift. faktiske nettofinansielle poster i 201</w:t>
            </w:r>
            <w:r>
              <w:rPr>
                <w:sz w:val="20"/>
              </w:rPr>
              <w:t>2</w:t>
            </w:r>
          </w:p>
        </w:tc>
        <w:tc>
          <w:tcPr>
            <w:tcW w:w="721" w:type="pct"/>
            <w:tcBorders>
              <w:top w:val="single" w:color="auto" w:sz="4" w:space="0"/>
              <w:left w:val="single" w:color="auto" w:sz="4" w:space="0"/>
              <w:bottom w:val="single" w:color="auto" w:sz="4" w:space="0"/>
              <w:right w:val="nil"/>
            </w:tcBorders>
            <w:shd w:val="clear" w:color="auto" w:fill="auto"/>
          </w:tcPr>
          <w:p w:rsidRPr="001417F8" w:rsidR="00D95804" w:rsidP="00455CE1" w:rsidRDefault="00D95804">
            <w:pPr>
              <w:jc w:val="right"/>
              <w:rPr>
                <w:sz w:val="20"/>
              </w:rPr>
            </w:pPr>
            <w:r w:rsidRPr="001417F8">
              <w:rPr>
                <w:sz w:val="20"/>
              </w:rPr>
              <w:fldChar w:fldCharType="begin"/>
            </w:r>
            <w:r w:rsidRPr="001417F8">
              <w:rPr>
                <w:sz w:val="20"/>
              </w:rPr>
              <w:instrText xml:space="preserve"> REF KorrNetFin \h  \* MERGEFORMAT </w:instrText>
            </w:r>
            <w:r w:rsidRPr="001417F8">
              <w:rPr>
                <w:sz w:val="20"/>
              </w:rPr>
            </w:r>
            <w:r w:rsidRPr="001417F8">
              <w:rPr>
                <w:sz w:val="20"/>
              </w:rPr>
              <w:fldChar w:fldCharType="separate"/>
            </w:r>
            <w:r w:rsidRPr="00D93A07" w:rsidR="00D93A07">
              <w:rPr>
                <w:sz w:val="20"/>
              </w:rPr>
              <w:t>-215.578</w:t>
            </w:r>
            <w:r w:rsidRPr="001417F8">
              <w:rPr>
                <w:sz w:val="20"/>
              </w:rPr>
              <w:fldChar w:fldCharType="end"/>
            </w:r>
          </w:p>
        </w:tc>
        <w:tc>
          <w:tcPr>
            <w:tcW w:w="244" w:type="pct"/>
            <w:tcBorders>
              <w:top w:val="single" w:color="auto" w:sz="4" w:space="0"/>
              <w:left w:val="nil"/>
              <w:bottom w:val="single" w:color="auto" w:sz="4" w:space="0"/>
              <w:right w:val="single" w:color="auto" w:sz="4" w:space="0"/>
            </w:tcBorders>
            <w:shd w:val="clear" w:color="auto" w:fill="auto"/>
          </w:tcPr>
          <w:p w:rsidRPr="001417F8" w:rsidR="00D95804" w:rsidP="00455CE1" w:rsidRDefault="00D95804">
            <w:r w:rsidRPr="001417F8">
              <w:rPr>
                <w:sz w:val="18"/>
                <w:szCs w:val="18"/>
              </w:rPr>
              <w:t>kr.</w:t>
            </w:r>
          </w:p>
        </w:tc>
        <w:tc>
          <w:tcPr>
            <w:tcW w:w="969" w:type="pct"/>
            <w:gridSpan w:val="3"/>
            <w:vMerge/>
            <w:tcBorders>
              <w:left w:val="nil"/>
              <w:bottom w:val="single" w:color="auto" w:sz="4" w:space="0"/>
              <w:right w:val="single" w:color="auto" w:sz="4" w:space="0"/>
            </w:tcBorders>
            <w:shd w:val="clear" w:color="auto" w:fill="auto"/>
          </w:tcPr>
          <w:p w:rsidRPr="001417F8" w:rsidR="00D95804" w:rsidP="00455CE1" w:rsidRDefault="00D95804">
            <w:pPr>
              <w:jc w:val="right"/>
              <w:rPr>
                <w:sz w:val="20"/>
              </w:rPr>
            </w:pPr>
          </w:p>
        </w:tc>
      </w:tr>
      <w:tr w:rsidRPr="001417F8" w:rsidR="00D95804" w:rsidTr="00BD5319">
        <w:tc>
          <w:tcPr>
            <w:tcW w:w="3066" w:type="pct"/>
            <w:tcBorders>
              <w:top w:val="single" w:color="auto" w:sz="4" w:space="0"/>
              <w:left w:val="single" w:color="auto" w:sz="4" w:space="0"/>
              <w:bottom w:val="single" w:color="auto" w:sz="4" w:space="0"/>
              <w:right w:val="single" w:color="auto" w:sz="4" w:space="0"/>
            </w:tcBorders>
            <w:shd w:val="pct12" w:color="auto" w:fill="auto"/>
          </w:tcPr>
          <w:p w:rsidRPr="00CB387F" w:rsidR="00D95804" w:rsidP="00455CE1" w:rsidRDefault="00D95804">
            <w:pPr>
              <w:rPr>
                <w:sz w:val="20"/>
              </w:rPr>
            </w:pPr>
            <w:r w:rsidRPr="00CB387F">
              <w:rPr>
                <w:sz w:val="20"/>
              </w:rPr>
              <w:t>Øvrige udgifter mv. i alt</w:t>
            </w:r>
          </w:p>
        </w:tc>
        <w:bookmarkStart w:name="OvrUdgIalt" w:id="4"/>
        <w:tc>
          <w:tcPr>
            <w:tcW w:w="721" w:type="pct"/>
            <w:tcBorders>
              <w:top w:val="single" w:color="auto" w:sz="4" w:space="0"/>
              <w:left w:val="single" w:color="auto" w:sz="4" w:space="0"/>
              <w:bottom w:val="single" w:color="auto" w:sz="4" w:space="0"/>
              <w:right w:val="nil"/>
            </w:tcBorders>
            <w:shd w:val="pct12" w:color="auto" w:fill="auto"/>
          </w:tcPr>
          <w:p w:rsidRPr="001417F8" w:rsidR="00D95804" w:rsidP="00455CE1" w:rsidRDefault="00D95804">
            <w:pPr>
              <w:jc w:val="right"/>
              <w:rPr>
                <w:sz w:val="20"/>
              </w:rPr>
            </w:pPr>
            <w:r w:rsidRPr="001417F8">
              <w:rPr>
                <w:sz w:val="20"/>
              </w:rPr>
              <w:fldChar w:fldCharType="begin"/>
            </w:r>
            <w:r w:rsidRPr="001417F8">
              <w:rPr>
                <w:sz w:val="20"/>
              </w:rPr>
              <w:instrText xml:space="preserve"> =SUM(ABOVE) </w:instrText>
            </w:r>
            <w:r w:rsidRPr="001417F8">
              <w:rPr>
                <w:sz w:val="20"/>
              </w:rPr>
              <w:fldChar w:fldCharType="separate"/>
            </w:r>
            <w:r w:rsidR="00A578E8">
              <w:rPr>
                <w:noProof/>
                <w:sz w:val="20"/>
              </w:rPr>
              <w:t>13.049.880</w:t>
            </w:r>
            <w:r w:rsidRPr="001417F8">
              <w:rPr>
                <w:sz w:val="20"/>
              </w:rPr>
              <w:fldChar w:fldCharType="end"/>
            </w:r>
            <w:bookmarkEnd w:id="4"/>
          </w:p>
        </w:tc>
        <w:tc>
          <w:tcPr>
            <w:tcW w:w="244" w:type="pct"/>
            <w:tcBorders>
              <w:top w:val="single" w:color="auto" w:sz="4" w:space="0"/>
              <w:left w:val="nil"/>
              <w:bottom w:val="single" w:color="auto" w:sz="4" w:space="0"/>
              <w:right w:val="single" w:color="auto" w:sz="4" w:space="0"/>
            </w:tcBorders>
            <w:shd w:val="pct12" w:color="auto" w:fill="auto"/>
          </w:tcPr>
          <w:p w:rsidRPr="001417F8" w:rsidR="00D95804" w:rsidP="00455CE1" w:rsidRDefault="00D95804">
            <w:pPr>
              <w:rPr>
                <w:sz w:val="18"/>
                <w:szCs w:val="18"/>
              </w:rPr>
            </w:pPr>
            <w:r w:rsidRPr="001417F8">
              <w:rPr>
                <w:sz w:val="18"/>
                <w:szCs w:val="18"/>
              </w:rPr>
              <w:t>kr.</w:t>
            </w:r>
          </w:p>
        </w:tc>
        <w:tc>
          <w:tcPr>
            <w:tcW w:w="727" w:type="pct"/>
            <w:gridSpan w:val="2"/>
            <w:tcBorders>
              <w:top w:val="single" w:color="auto" w:sz="4" w:space="0"/>
              <w:left w:val="nil"/>
              <w:bottom w:val="single" w:color="auto" w:sz="4" w:space="0"/>
              <w:right w:val="single" w:color="auto" w:sz="4" w:space="0"/>
            </w:tcBorders>
            <w:shd w:val="pct12" w:color="auto" w:fill="auto"/>
          </w:tcPr>
          <w:p w:rsidRPr="001417F8" w:rsidR="00D95804" w:rsidP="00455CE1" w:rsidRDefault="00D95804">
            <w:pPr>
              <w:jc w:val="right"/>
              <w:rPr>
                <w:sz w:val="20"/>
              </w:rPr>
            </w:pPr>
            <w:r w:rsidRPr="001417F8">
              <w:rPr>
                <w:sz w:val="20"/>
              </w:rPr>
              <w:fldChar w:fldCharType="begin"/>
            </w:r>
            <w:r w:rsidRPr="001417F8">
              <w:rPr>
                <w:sz w:val="20"/>
              </w:rPr>
              <w:instrText xml:space="preserve"> REF OvrUdgIalt \h </w:instrText>
            </w:r>
            <w:r w:rsidRPr="001417F8">
              <w:rPr>
                <w:sz w:val="20"/>
              </w:rPr>
            </w:r>
            <w:r w:rsidRPr="001417F8">
              <w:rPr>
                <w:sz w:val="20"/>
              </w:rPr>
              <w:fldChar w:fldCharType="separate"/>
            </w:r>
            <w:r w:rsidR="00D93A07">
              <w:rPr>
                <w:noProof/>
                <w:sz w:val="20"/>
              </w:rPr>
              <w:t>13.049.880</w:t>
            </w:r>
            <w:r w:rsidRPr="001417F8">
              <w:rPr>
                <w:sz w:val="20"/>
              </w:rPr>
              <w:fldChar w:fldCharType="end"/>
            </w:r>
          </w:p>
        </w:tc>
        <w:tc>
          <w:tcPr>
            <w:tcW w:w="242" w:type="pct"/>
            <w:tcBorders>
              <w:top w:val="single" w:color="auto" w:sz="4" w:space="0"/>
              <w:left w:val="nil"/>
              <w:bottom w:val="single" w:color="auto" w:sz="4" w:space="0"/>
              <w:right w:val="single" w:color="auto" w:sz="4" w:space="0"/>
            </w:tcBorders>
            <w:shd w:val="pct12" w:color="auto" w:fill="auto"/>
          </w:tcPr>
          <w:p w:rsidRPr="001417F8" w:rsidR="00D95804" w:rsidP="00455CE1" w:rsidRDefault="00D95804">
            <w:pPr>
              <w:rPr>
                <w:sz w:val="18"/>
                <w:szCs w:val="18"/>
              </w:rPr>
            </w:pPr>
            <w:r w:rsidRPr="001417F8">
              <w:rPr>
                <w:sz w:val="18"/>
                <w:szCs w:val="18"/>
              </w:rPr>
              <w:t>kr.</w:t>
            </w:r>
          </w:p>
        </w:tc>
      </w:tr>
      <w:tr w:rsidRPr="001417F8" w:rsidR="00D95804" w:rsidTr="00BD5319">
        <w:trPr>
          <w:trHeight w:val="143"/>
        </w:trPr>
        <w:tc>
          <w:tcPr>
            <w:tcW w:w="3066" w:type="pct"/>
            <w:tcBorders>
              <w:top w:val="single" w:color="auto" w:sz="4" w:space="0"/>
              <w:left w:val="single" w:color="auto" w:sz="4" w:space="0"/>
              <w:bottom w:val="single" w:color="auto" w:sz="4" w:space="0"/>
              <w:right w:val="single" w:color="auto" w:sz="4" w:space="0"/>
            </w:tcBorders>
            <w:shd w:val="clear" w:color="auto" w:fill="000000" w:themeFill="text1"/>
          </w:tcPr>
          <w:p w:rsidRPr="003D109A" w:rsidR="00D95804" w:rsidP="00455CE1" w:rsidRDefault="00D95804">
            <w:pPr>
              <w:rPr>
                <w:color w:val="FFFFFF" w:themeColor="background1"/>
                <w:sz w:val="20"/>
              </w:rPr>
            </w:pPr>
            <w:r w:rsidRPr="003D109A">
              <w:rPr>
                <w:color w:val="FFFFFF" w:themeColor="background1"/>
                <w:sz w:val="20"/>
              </w:rPr>
              <w:t xml:space="preserve">Korrektion </w:t>
            </w:r>
            <w:r>
              <w:rPr>
                <w:color w:val="FFFFFF" w:themeColor="background1"/>
                <w:sz w:val="20"/>
              </w:rPr>
              <w:t xml:space="preserve">i </w:t>
            </w:r>
            <w:r w:rsidRPr="003D109A">
              <w:rPr>
                <w:color w:val="FFFFFF" w:themeColor="background1"/>
                <w:sz w:val="20"/>
              </w:rPr>
              <w:t>for</w:t>
            </w:r>
            <w:r>
              <w:rPr>
                <w:color w:val="FFFFFF" w:themeColor="background1"/>
                <w:sz w:val="20"/>
              </w:rPr>
              <w:t xml:space="preserve">hold til </w:t>
            </w:r>
            <w:r w:rsidRPr="003D109A">
              <w:rPr>
                <w:color w:val="FFFFFF" w:themeColor="background1"/>
                <w:sz w:val="20"/>
              </w:rPr>
              <w:t xml:space="preserve">tidligere indtægtsramme </w:t>
            </w:r>
          </w:p>
        </w:tc>
        <w:tc>
          <w:tcPr>
            <w:tcW w:w="721" w:type="pct"/>
            <w:tcBorders>
              <w:top w:val="single" w:color="auto" w:sz="4" w:space="0"/>
              <w:left w:val="single" w:color="auto" w:sz="4" w:space="0"/>
              <w:right w:val="nil"/>
            </w:tcBorders>
            <w:shd w:val="clear" w:color="auto" w:fill="000000" w:themeFill="text1"/>
          </w:tcPr>
          <w:p w:rsidRPr="001417F8" w:rsidR="00D95804" w:rsidP="00455CE1" w:rsidRDefault="00D95804">
            <w:pPr>
              <w:jc w:val="right"/>
              <w:rPr>
                <w:color w:val="FFFFFF" w:themeColor="background1"/>
                <w:sz w:val="20"/>
              </w:rPr>
            </w:pPr>
          </w:p>
        </w:tc>
        <w:tc>
          <w:tcPr>
            <w:tcW w:w="244" w:type="pct"/>
            <w:tcBorders>
              <w:top w:val="single" w:color="auto" w:sz="4" w:space="0"/>
              <w:left w:val="nil"/>
              <w:right w:val="single" w:color="auto" w:sz="4" w:space="0"/>
            </w:tcBorders>
            <w:shd w:val="clear" w:color="auto" w:fill="000000" w:themeFill="text1"/>
          </w:tcPr>
          <w:p w:rsidRPr="001417F8" w:rsidR="00D95804" w:rsidP="00455CE1" w:rsidRDefault="00D95804">
            <w:pPr>
              <w:rPr>
                <w:color w:val="FFFFFF" w:themeColor="background1"/>
                <w:sz w:val="18"/>
                <w:szCs w:val="18"/>
              </w:rPr>
            </w:pPr>
          </w:p>
        </w:tc>
        <w:tc>
          <w:tcPr>
            <w:tcW w:w="727" w:type="pct"/>
            <w:gridSpan w:val="2"/>
            <w:tcBorders>
              <w:top w:val="single" w:color="auto" w:sz="4" w:space="0"/>
              <w:left w:val="nil"/>
              <w:right w:val="single" w:color="auto" w:sz="4" w:space="0"/>
            </w:tcBorders>
            <w:shd w:val="clear" w:color="auto" w:fill="000000" w:themeFill="text1"/>
          </w:tcPr>
          <w:p w:rsidRPr="001417F8" w:rsidR="00D95804" w:rsidP="00455CE1" w:rsidRDefault="00D95804">
            <w:pPr>
              <w:jc w:val="right"/>
              <w:rPr>
                <w:color w:val="FFFFFF" w:themeColor="background1"/>
              </w:rPr>
            </w:pPr>
          </w:p>
        </w:tc>
        <w:tc>
          <w:tcPr>
            <w:tcW w:w="242" w:type="pct"/>
            <w:tcBorders>
              <w:top w:val="single" w:color="auto" w:sz="4" w:space="0"/>
              <w:left w:val="nil"/>
              <w:right w:val="single" w:color="auto" w:sz="4" w:space="0"/>
            </w:tcBorders>
            <w:shd w:val="clear" w:color="auto" w:fill="000000" w:themeFill="text1"/>
          </w:tcPr>
          <w:p w:rsidRPr="001417F8" w:rsidR="00D95804" w:rsidP="00455CE1" w:rsidRDefault="00D95804">
            <w:pPr>
              <w:jc w:val="right"/>
              <w:rPr>
                <w:color w:val="FFFFFF" w:themeColor="background1"/>
              </w:rPr>
            </w:pPr>
          </w:p>
        </w:tc>
      </w:tr>
      <w:tr w:rsidRPr="001417F8" w:rsidR="00D95804" w:rsidTr="00BD5319">
        <w:trPr>
          <w:trHeight w:val="143"/>
        </w:trPr>
        <w:tc>
          <w:tcPr>
            <w:tcW w:w="3066"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B387F" w:rsidR="00D95804" w:rsidP="00455CE1" w:rsidRDefault="00D95804">
            <w:pPr>
              <w:rPr>
                <w:sz w:val="20"/>
              </w:rPr>
            </w:pPr>
            <w:r w:rsidRPr="00CB387F">
              <w:rPr>
                <w:sz w:val="20"/>
              </w:rPr>
              <w:t>Korrektion for overholdelse af indtægtsramme i prisloft 201</w:t>
            </w:r>
            <w:r>
              <w:rPr>
                <w:sz w:val="20"/>
              </w:rPr>
              <w:t>2</w:t>
            </w:r>
          </w:p>
        </w:tc>
        <w:tc>
          <w:tcPr>
            <w:tcW w:w="721" w:type="pct"/>
            <w:tcBorders>
              <w:top w:val="single" w:color="auto" w:sz="4" w:space="0"/>
              <w:left w:val="single" w:color="auto" w:sz="4" w:space="0"/>
              <w:right w:val="nil"/>
            </w:tcBorders>
            <w:shd w:val="clear" w:color="auto" w:fill="D9D9D9" w:themeFill="background1" w:themeFillShade="D9"/>
          </w:tcPr>
          <w:p w:rsidRPr="001417F8" w:rsidR="00D95804" w:rsidP="00455CE1" w:rsidRDefault="00D95804">
            <w:pPr>
              <w:jc w:val="right"/>
              <w:rPr>
                <w:sz w:val="20"/>
              </w:rPr>
            </w:pPr>
            <w:r w:rsidRPr="001417F8">
              <w:rPr>
                <w:sz w:val="20"/>
              </w:rPr>
              <w:fldChar w:fldCharType="begin"/>
            </w:r>
            <w:r w:rsidRPr="001417F8">
              <w:rPr>
                <w:sz w:val="20"/>
              </w:rPr>
              <w:instrText xml:space="preserve"> REF KorrIndt \h  \* MERGEFORMAT </w:instrText>
            </w:r>
            <w:r w:rsidRPr="001417F8">
              <w:rPr>
                <w:sz w:val="20"/>
              </w:rPr>
            </w:r>
            <w:r w:rsidRPr="001417F8">
              <w:rPr>
                <w:sz w:val="20"/>
              </w:rPr>
              <w:fldChar w:fldCharType="separate"/>
            </w:r>
            <w:r w:rsidRPr="00723F73" w:rsidR="00D93A07">
              <w:rPr>
                <w:sz w:val="20"/>
              </w:rPr>
              <w:t>2.774.548</w:t>
            </w:r>
            <w:r w:rsidRPr="001417F8">
              <w:rPr>
                <w:sz w:val="20"/>
              </w:rPr>
              <w:fldChar w:fldCharType="end"/>
            </w:r>
          </w:p>
        </w:tc>
        <w:tc>
          <w:tcPr>
            <w:tcW w:w="244" w:type="pct"/>
            <w:tcBorders>
              <w:top w:val="single" w:color="auto" w:sz="4" w:space="0"/>
              <w:left w:val="nil"/>
              <w:right w:val="single" w:color="auto" w:sz="4" w:space="0"/>
            </w:tcBorders>
            <w:shd w:val="clear" w:color="auto" w:fill="D9D9D9" w:themeFill="background1" w:themeFillShade="D9"/>
          </w:tcPr>
          <w:p w:rsidRPr="001417F8" w:rsidR="00D95804" w:rsidP="00455CE1" w:rsidRDefault="00D95804">
            <w:r w:rsidRPr="001417F8">
              <w:rPr>
                <w:sz w:val="18"/>
                <w:szCs w:val="18"/>
              </w:rPr>
              <w:t>kr.</w:t>
            </w:r>
          </w:p>
        </w:tc>
        <w:tc>
          <w:tcPr>
            <w:tcW w:w="727" w:type="pct"/>
            <w:gridSpan w:val="2"/>
            <w:tcBorders>
              <w:top w:val="single" w:color="auto" w:sz="4" w:space="0"/>
              <w:left w:val="nil"/>
              <w:right w:val="single" w:color="auto" w:sz="4" w:space="0"/>
            </w:tcBorders>
            <w:shd w:val="clear" w:color="auto" w:fill="D9D9D9" w:themeFill="background1" w:themeFillShade="D9"/>
          </w:tcPr>
          <w:p w:rsidRPr="001417F8" w:rsidR="00D95804" w:rsidP="00BA627A" w:rsidRDefault="00D95804">
            <w:pPr>
              <w:jc w:val="right"/>
              <w:rPr>
                <w:sz w:val="20"/>
              </w:rPr>
            </w:pPr>
            <w:r w:rsidRPr="001417F8">
              <w:rPr>
                <w:sz w:val="20"/>
              </w:rPr>
              <w:fldChar w:fldCharType="begin"/>
            </w:r>
            <w:r w:rsidRPr="001417F8">
              <w:rPr>
                <w:sz w:val="20"/>
              </w:rPr>
              <w:instrText xml:space="preserve"> REF KorrIndt \h  \* MERGEFORMAT </w:instrText>
            </w:r>
            <w:r w:rsidRPr="001417F8">
              <w:rPr>
                <w:sz w:val="20"/>
              </w:rPr>
            </w:r>
            <w:r w:rsidRPr="001417F8">
              <w:rPr>
                <w:sz w:val="20"/>
              </w:rPr>
              <w:fldChar w:fldCharType="separate"/>
            </w:r>
            <w:r w:rsidRPr="00723F73" w:rsidR="00D93A07">
              <w:rPr>
                <w:sz w:val="20"/>
              </w:rPr>
              <w:t>2.774.548</w:t>
            </w:r>
            <w:r w:rsidRPr="001417F8">
              <w:rPr>
                <w:sz w:val="20"/>
              </w:rPr>
              <w:fldChar w:fldCharType="end"/>
            </w:r>
          </w:p>
        </w:tc>
        <w:tc>
          <w:tcPr>
            <w:tcW w:w="242" w:type="pct"/>
            <w:tcBorders>
              <w:top w:val="single" w:color="auto" w:sz="4" w:space="0"/>
              <w:left w:val="nil"/>
              <w:right w:val="single" w:color="auto" w:sz="4" w:space="0"/>
            </w:tcBorders>
            <w:shd w:val="clear" w:color="auto" w:fill="D9D9D9" w:themeFill="background1" w:themeFillShade="D9"/>
          </w:tcPr>
          <w:p w:rsidRPr="001417F8" w:rsidR="00D95804" w:rsidP="00455CE1" w:rsidRDefault="00D95804">
            <w:pPr>
              <w:jc w:val="right"/>
            </w:pPr>
            <w:r w:rsidRPr="001417F8">
              <w:rPr>
                <w:sz w:val="18"/>
                <w:szCs w:val="18"/>
              </w:rPr>
              <w:t>kr.</w:t>
            </w:r>
          </w:p>
        </w:tc>
      </w:tr>
      <w:tr w:rsidRPr="001417F8" w:rsidR="00D95804" w:rsidTr="00BD5319">
        <w:tc>
          <w:tcPr>
            <w:tcW w:w="3066" w:type="pct"/>
            <w:tcBorders>
              <w:top w:val="single" w:color="auto" w:sz="4" w:space="0"/>
              <w:left w:val="single" w:color="auto" w:sz="4" w:space="0"/>
              <w:bottom w:val="single" w:color="auto" w:sz="4" w:space="0"/>
              <w:right w:val="single" w:color="auto" w:sz="4" w:space="0"/>
            </w:tcBorders>
            <w:shd w:val="solid" w:color="auto" w:fill="auto"/>
          </w:tcPr>
          <w:p w:rsidRPr="00CB387F" w:rsidR="00D95804" w:rsidP="00455CE1" w:rsidRDefault="00D95804">
            <w:pPr>
              <w:rPr>
                <w:b/>
                <w:sz w:val="20"/>
              </w:rPr>
            </w:pPr>
            <w:r w:rsidRPr="00CB387F">
              <w:rPr>
                <w:b/>
                <w:sz w:val="20"/>
              </w:rPr>
              <w:t>Samlede prisloft</w:t>
            </w:r>
          </w:p>
        </w:tc>
        <w:tc>
          <w:tcPr>
            <w:tcW w:w="721" w:type="pct"/>
            <w:tcBorders>
              <w:top w:val="single" w:color="auto" w:sz="4" w:space="0"/>
              <w:left w:val="single" w:color="auto" w:sz="4" w:space="0"/>
              <w:bottom w:val="single" w:color="auto" w:sz="4" w:space="0"/>
              <w:right w:val="single" w:color="auto" w:sz="4" w:space="0"/>
            </w:tcBorders>
            <w:shd w:val="solid" w:color="auto" w:fill="auto"/>
          </w:tcPr>
          <w:p w:rsidRPr="001417F8" w:rsidR="00D95804" w:rsidP="00455CE1" w:rsidRDefault="00D95804">
            <w:pPr>
              <w:jc w:val="center"/>
              <w:rPr>
                <w:b/>
                <w:sz w:val="20"/>
              </w:rPr>
            </w:pPr>
          </w:p>
        </w:tc>
        <w:tc>
          <w:tcPr>
            <w:tcW w:w="244" w:type="pct"/>
            <w:tcBorders>
              <w:top w:val="single" w:color="auto" w:sz="4" w:space="0"/>
              <w:left w:val="single" w:color="auto" w:sz="4" w:space="0"/>
              <w:bottom w:val="single" w:color="auto" w:sz="4" w:space="0"/>
              <w:right w:val="single" w:color="auto" w:sz="4" w:space="0"/>
            </w:tcBorders>
            <w:shd w:val="solid" w:color="auto" w:fill="auto"/>
          </w:tcPr>
          <w:p w:rsidRPr="001417F8" w:rsidR="00D95804" w:rsidP="00455CE1" w:rsidRDefault="00D95804">
            <w:pPr>
              <w:jc w:val="center"/>
              <w:rPr>
                <w:b/>
                <w:sz w:val="20"/>
              </w:rPr>
            </w:pPr>
          </w:p>
        </w:tc>
        <w:tc>
          <w:tcPr>
            <w:tcW w:w="727" w:type="pct"/>
            <w:gridSpan w:val="2"/>
            <w:tcBorders>
              <w:top w:val="single" w:color="auto" w:sz="4" w:space="0"/>
              <w:left w:val="single" w:color="auto" w:sz="4" w:space="0"/>
              <w:bottom w:val="single" w:color="auto" w:sz="4" w:space="0"/>
              <w:right w:val="single" w:color="auto" w:sz="4" w:space="0"/>
            </w:tcBorders>
            <w:shd w:val="solid" w:color="auto" w:fill="auto"/>
          </w:tcPr>
          <w:p w:rsidRPr="001417F8" w:rsidR="00D95804" w:rsidP="00455CE1" w:rsidRDefault="00D95804">
            <w:pPr>
              <w:jc w:val="center"/>
              <w:rPr>
                <w:b/>
                <w:sz w:val="20"/>
              </w:rPr>
            </w:pPr>
          </w:p>
        </w:tc>
        <w:tc>
          <w:tcPr>
            <w:tcW w:w="242" w:type="pct"/>
            <w:tcBorders>
              <w:top w:val="single" w:color="auto" w:sz="4" w:space="0"/>
              <w:left w:val="single" w:color="auto" w:sz="4" w:space="0"/>
              <w:bottom w:val="single" w:color="auto" w:sz="4" w:space="0"/>
              <w:right w:val="single" w:color="auto" w:sz="4" w:space="0"/>
            </w:tcBorders>
            <w:shd w:val="solid" w:color="auto" w:fill="auto"/>
          </w:tcPr>
          <w:p w:rsidRPr="001417F8" w:rsidR="00D95804" w:rsidP="00455CE1" w:rsidRDefault="00D95804">
            <w:pPr>
              <w:jc w:val="center"/>
              <w:rPr>
                <w:b/>
                <w:sz w:val="20"/>
              </w:rPr>
            </w:pPr>
          </w:p>
        </w:tc>
      </w:tr>
      <w:tr w:rsidRPr="001417F8" w:rsidR="00D95804" w:rsidTr="00BD5319">
        <w:trPr>
          <w:trHeight w:val="142"/>
        </w:trPr>
        <w:tc>
          <w:tcPr>
            <w:tcW w:w="4031" w:type="pct"/>
            <w:gridSpan w:val="3"/>
            <w:tcBorders>
              <w:top w:val="single" w:color="auto" w:sz="4" w:space="0"/>
              <w:left w:val="single" w:color="auto" w:sz="4" w:space="0"/>
              <w:bottom w:val="single" w:color="auto" w:sz="4" w:space="0"/>
              <w:right w:val="single" w:color="auto" w:sz="4" w:space="0"/>
            </w:tcBorders>
            <w:shd w:val="pct12" w:color="auto" w:fill="auto"/>
          </w:tcPr>
          <w:p w:rsidRPr="001417F8" w:rsidR="00D95804" w:rsidP="00455CE1" w:rsidRDefault="00D95804">
            <w:pPr>
              <w:rPr>
                <w:sz w:val="20"/>
              </w:rPr>
            </w:pPr>
            <w:r w:rsidRPr="001417F8">
              <w:rPr>
                <w:sz w:val="20"/>
              </w:rPr>
              <w:t xml:space="preserve">Indtægtsramme i 2014 </w:t>
            </w:r>
          </w:p>
        </w:tc>
        <w:bookmarkStart w:name="IndtRamme" w:id="5"/>
        <w:tc>
          <w:tcPr>
            <w:tcW w:w="727" w:type="pct"/>
            <w:gridSpan w:val="2"/>
            <w:tcBorders>
              <w:left w:val="single" w:color="auto" w:sz="4" w:space="0"/>
              <w:bottom w:val="single" w:color="auto" w:sz="4" w:space="0"/>
              <w:right w:val="nil"/>
            </w:tcBorders>
            <w:shd w:val="pct12" w:color="auto" w:fill="auto"/>
          </w:tcPr>
          <w:p w:rsidRPr="001417F8" w:rsidR="00D95804" w:rsidP="00455CE1" w:rsidRDefault="001417F8">
            <w:pPr>
              <w:jc w:val="right"/>
              <w:rPr>
                <w:sz w:val="20"/>
              </w:rPr>
            </w:pPr>
            <w:r>
              <w:rPr>
                <w:sz w:val="20"/>
              </w:rPr>
              <w:fldChar w:fldCharType="begin"/>
            </w:r>
            <w:r>
              <w:rPr>
                <w:sz w:val="20"/>
              </w:rPr>
              <w:instrText xml:space="preserve"> =SUM(DriftIalt;InvIalt;OvrUdgIalt;KorrIndt) </w:instrText>
            </w:r>
            <w:r>
              <w:rPr>
                <w:sz w:val="20"/>
              </w:rPr>
              <w:fldChar w:fldCharType="separate"/>
            </w:r>
            <w:r w:rsidR="00A578E8">
              <w:rPr>
                <w:noProof/>
                <w:sz w:val="20"/>
              </w:rPr>
              <w:t>101.231.835</w:t>
            </w:r>
            <w:r>
              <w:rPr>
                <w:sz w:val="20"/>
              </w:rPr>
              <w:fldChar w:fldCharType="end"/>
            </w:r>
            <w:bookmarkEnd w:id="5"/>
          </w:p>
        </w:tc>
        <w:tc>
          <w:tcPr>
            <w:tcW w:w="242" w:type="pct"/>
            <w:tcBorders>
              <w:left w:val="nil"/>
              <w:bottom w:val="single" w:color="auto" w:sz="4" w:space="0"/>
              <w:right w:val="single" w:color="auto" w:sz="4" w:space="0"/>
            </w:tcBorders>
            <w:shd w:val="pct12" w:color="auto" w:fill="auto"/>
          </w:tcPr>
          <w:p w:rsidRPr="001417F8" w:rsidR="00D95804" w:rsidP="00455CE1" w:rsidRDefault="00D95804">
            <w:pPr>
              <w:rPr>
                <w:sz w:val="18"/>
                <w:szCs w:val="18"/>
              </w:rPr>
            </w:pPr>
            <w:r w:rsidRPr="001417F8">
              <w:rPr>
                <w:sz w:val="18"/>
                <w:szCs w:val="18"/>
              </w:rPr>
              <w:t>kr.</w:t>
            </w:r>
          </w:p>
        </w:tc>
      </w:tr>
      <w:tr w:rsidRPr="00CB387F" w:rsidR="00D95804" w:rsidTr="00BD5319">
        <w:trPr>
          <w:trHeight w:val="108"/>
        </w:trPr>
        <w:tc>
          <w:tcPr>
            <w:tcW w:w="4031" w:type="pct"/>
            <w:gridSpan w:val="3"/>
            <w:tcBorders>
              <w:top w:val="single" w:color="auto" w:sz="4" w:space="0"/>
              <w:left w:val="single" w:color="auto" w:sz="4" w:space="0"/>
              <w:bottom w:val="single" w:color="auto" w:sz="4" w:space="0"/>
              <w:right w:val="single" w:color="auto" w:sz="4" w:space="0"/>
            </w:tcBorders>
            <w:shd w:val="pct12" w:color="auto" w:fill="auto"/>
          </w:tcPr>
          <w:p w:rsidRPr="00296F15" w:rsidR="00D95804" w:rsidP="00455CE1" w:rsidRDefault="00D95804">
            <w:pPr>
              <w:rPr>
                <w:sz w:val="20"/>
              </w:rPr>
            </w:pPr>
            <w:r w:rsidRPr="00296F15">
              <w:rPr>
                <w:sz w:val="20"/>
              </w:rPr>
              <w:t>Debiteret vandmængde 201</w:t>
            </w:r>
            <w:r>
              <w:rPr>
                <w:sz w:val="20"/>
              </w:rPr>
              <w:t>2</w:t>
            </w:r>
          </w:p>
        </w:tc>
        <w:tc>
          <w:tcPr>
            <w:tcW w:w="727" w:type="pct"/>
            <w:gridSpan w:val="2"/>
            <w:tcBorders>
              <w:top w:val="single" w:color="auto" w:sz="4" w:space="0"/>
              <w:left w:val="single" w:color="auto" w:sz="4" w:space="0"/>
              <w:bottom w:val="single" w:color="auto" w:sz="4" w:space="0"/>
              <w:right w:val="nil"/>
            </w:tcBorders>
            <w:shd w:val="pct12" w:color="auto" w:fill="auto"/>
          </w:tcPr>
          <w:p w:rsidRPr="00EC2E79" w:rsidR="00D95804" w:rsidP="00A17105" w:rsidRDefault="00D95804">
            <w:pPr>
              <w:jc w:val="right"/>
              <w:rPr>
                <w:sz w:val="20"/>
              </w:rPr>
            </w:pPr>
            <w:r w:rsidRPr="00EC2E79">
              <w:rPr>
                <w:sz w:val="20"/>
              </w:rPr>
              <w:fldChar w:fldCharType="begin"/>
            </w:r>
            <w:r w:rsidRPr="00EC2E79">
              <w:rPr>
                <w:sz w:val="20"/>
              </w:rPr>
              <w:instrText xml:space="preserve"> REF DebVand \h  \* MERGEFORMAT </w:instrText>
            </w:r>
            <w:r w:rsidRPr="00EC2E79">
              <w:rPr>
                <w:sz w:val="20"/>
              </w:rPr>
            </w:r>
            <w:r w:rsidRPr="00EC2E79">
              <w:rPr>
                <w:sz w:val="20"/>
              </w:rPr>
              <w:fldChar w:fldCharType="separate"/>
            </w:r>
            <w:r w:rsidRPr="00D93A07" w:rsidR="00D93A07">
              <w:rPr>
                <w:sz w:val="20"/>
              </w:rPr>
              <w:t>1.986.726</w:t>
            </w:r>
            <w:r w:rsidRPr="00EC2E79">
              <w:rPr>
                <w:sz w:val="20"/>
              </w:rPr>
              <w:fldChar w:fldCharType="end"/>
            </w:r>
          </w:p>
        </w:tc>
        <w:tc>
          <w:tcPr>
            <w:tcW w:w="242" w:type="pct"/>
            <w:tcBorders>
              <w:top w:val="single" w:color="auto" w:sz="4" w:space="0"/>
              <w:left w:val="nil"/>
              <w:bottom w:val="single" w:color="auto" w:sz="4" w:space="0"/>
              <w:right w:val="single" w:color="auto" w:sz="4" w:space="0"/>
            </w:tcBorders>
            <w:shd w:val="pct12" w:color="auto" w:fill="auto"/>
          </w:tcPr>
          <w:p w:rsidRPr="00D201C6" w:rsidR="00D95804" w:rsidP="00455CE1" w:rsidRDefault="00D95804">
            <w:pPr>
              <w:jc w:val="right"/>
              <w:rPr>
                <w:sz w:val="18"/>
                <w:szCs w:val="18"/>
              </w:rPr>
            </w:pPr>
            <w:r w:rsidRPr="00D201C6">
              <w:rPr>
                <w:sz w:val="18"/>
                <w:szCs w:val="18"/>
              </w:rPr>
              <w:t>m</w:t>
            </w:r>
            <w:r w:rsidRPr="00D201C6">
              <w:rPr>
                <w:sz w:val="18"/>
                <w:szCs w:val="18"/>
                <w:vertAlign w:val="superscript"/>
              </w:rPr>
              <w:t>3</w:t>
            </w:r>
          </w:p>
        </w:tc>
      </w:tr>
      <w:tr w:rsidRPr="00CB387F" w:rsidR="00D95804" w:rsidTr="00BD5319">
        <w:trPr>
          <w:trHeight w:val="108"/>
        </w:trPr>
        <w:tc>
          <w:tcPr>
            <w:tcW w:w="4031" w:type="pct"/>
            <w:gridSpan w:val="3"/>
            <w:tcBorders>
              <w:top w:val="single" w:color="auto" w:sz="4" w:space="0"/>
              <w:left w:val="single" w:color="auto" w:sz="4" w:space="0"/>
              <w:bottom w:val="single" w:color="auto" w:sz="4" w:space="0"/>
              <w:right w:val="single" w:color="auto" w:sz="4" w:space="0"/>
            </w:tcBorders>
            <w:shd w:val="pct12" w:color="auto" w:fill="auto"/>
          </w:tcPr>
          <w:p w:rsidRPr="00CB387F" w:rsidR="00D95804" w:rsidP="00455CE1" w:rsidRDefault="00D95804">
            <w:pPr>
              <w:rPr>
                <w:sz w:val="20"/>
              </w:rPr>
            </w:pPr>
            <w:r w:rsidRPr="00CB387F">
              <w:rPr>
                <w:sz w:val="20"/>
              </w:rPr>
              <w:t>Prisloft 201</w:t>
            </w:r>
            <w:r>
              <w:rPr>
                <w:sz w:val="20"/>
              </w:rPr>
              <w:t>4</w:t>
            </w:r>
            <w:r w:rsidRPr="00CB387F">
              <w:rPr>
                <w:sz w:val="20"/>
              </w:rPr>
              <w:t xml:space="preserve"> </w:t>
            </w:r>
          </w:p>
        </w:tc>
        <w:bookmarkStart w:name="Prisloft" w:id="6"/>
        <w:tc>
          <w:tcPr>
            <w:tcW w:w="969" w:type="pct"/>
            <w:gridSpan w:val="3"/>
            <w:tcBorders>
              <w:top w:val="single" w:color="auto" w:sz="4" w:space="0"/>
              <w:left w:val="single" w:color="auto" w:sz="4" w:space="0"/>
              <w:bottom w:val="single" w:color="auto" w:sz="4" w:space="0"/>
              <w:right w:val="single" w:color="auto" w:sz="4" w:space="0"/>
            </w:tcBorders>
            <w:shd w:val="pct12" w:color="auto" w:fill="auto"/>
          </w:tcPr>
          <w:p w:rsidRPr="00D201C6" w:rsidR="00D95804" w:rsidP="005C4583" w:rsidRDefault="00D95804">
            <w:pPr>
              <w:jc w:val="right"/>
              <w:rPr>
                <w:sz w:val="20"/>
              </w:rPr>
            </w:pPr>
            <w:r>
              <w:rPr>
                <w:sz w:val="20"/>
              </w:rPr>
              <w:fldChar w:fldCharType="begin"/>
            </w:r>
            <w:r>
              <w:rPr>
                <w:sz w:val="20"/>
              </w:rPr>
              <w:instrText xml:space="preserve"> =IndtRamme/DebVand \# "0,00" </w:instrText>
            </w:r>
            <w:r>
              <w:rPr>
                <w:sz w:val="20"/>
              </w:rPr>
              <w:fldChar w:fldCharType="separate"/>
            </w:r>
            <w:r w:rsidR="00A578E8">
              <w:rPr>
                <w:noProof/>
                <w:sz w:val="20"/>
              </w:rPr>
              <w:t>50,95</w:t>
            </w:r>
            <w:r>
              <w:rPr>
                <w:sz w:val="20"/>
              </w:rPr>
              <w:fldChar w:fldCharType="end"/>
            </w:r>
            <w:bookmarkEnd w:id="6"/>
            <w:r>
              <w:rPr>
                <w:sz w:val="20"/>
              </w:rPr>
              <w:t xml:space="preserve"> </w:t>
            </w:r>
            <w:r w:rsidRPr="00D201C6">
              <w:rPr>
                <w:sz w:val="20"/>
              </w:rPr>
              <w:t>kr. pr. m</w:t>
            </w:r>
            <w:r w:rsidRPr="00D201C6">
              <w:rPr>
                <w:sz w:val="20"/>
                <w:vertAlign w:val="superscript"/>
              </w:rPr>
              <w:t>3</w:t>
            </w:r>
          </w:p>
        </w:tc>
      </w:tr>
    </w:tbl>
    <w:p w:rsidRPr="00C61320" w:rsidR="00375E51" w:rsidP="00375E51" w:rsidRDefault="00375E51">
      <w:pPr>
        <w:jc w:val="both"/>
        <w:rPr>
          <w:i/>
          <w:sz w:val="20"/>
        </w:rPr>
      </w:pPr>
      <w:r w:rsidRPr="00B82DF3">
        <w:t>*</w:t>
      </w:r>
      <w:r w:rsidRPr="00B82DF3">
        <w:rPr>
          <w:i/>
          <w:sz w:val="20"/>
        </w:rPr>
        <w:t>Bemærk, at der ved kontrollen med overholdelsen af prisloftet for 201</w:t>
      </w:r>
      <w:r>
        <w:rPr>
          <w:i/>
          <w:sz w:val="20"/>
        </w:rPr>
        <w:t>2</w:t>
      </w:r>
      <w:r w:rsidRPr="00B82DF3">
        <w:rPr>
          <w:i/>
          <w:sz w:val="20"/>
        </w:rPr>
        <w:t xml:space="preserve"> - som foret</w:t>
      </w:r>
      <w:r w:rsidRPr="00B82DF3">
        <w:rPr>
          <w:i/>
          <w:sz w:val="20"/>
        </w:rPr>
        <w:t>a</w:t>
      </w:r>
      <w:r w:rsidRPr="00B82DF3">
        <w:rPr>
          <w:i/>
          <w:sz w:val="20"/>
        </w:rPr>
        <w:t>ges i dette prisloft for 201</w:t>
      </w:r>
      <w:r>
        <w:rPr>
          <w:i/>
          <w:sz w:val="20"/>
        </w:rPr>
        <w:t>4</w:t>
      </w:r>
      <w:r w:rsidRPr="00B82DF3">
        <w:rPr>
          <w:i/>
          <w:sz w:val="20"/>
        </w:rPr>
        <w:t xml:space="preserve"> - kan opstå en korrektion, som får betydning for den saml</w:t>
      </w:r>
      <w:r w:rsidRPr="00B82DF3">
        <w:rPr>
          <w:i/>
          <w:sz w:val="20"/>
        </w:rPr>
        <w:t>e</w:t>
      </w:r>
      <w:r w:rsidRPr="00B82DF3">
        <w:rPr>
          <w:i/>
          <w:sz w:val="20"/>
        </w:rPr>
        <w:t>de størrelse af selskabets investeringsmidler i prisloftet for 201</w:t>
      </w:r>
      <w:r>
        <w:rPr>
          <w:i/>
          <w:sz w:val="20"/>
        </w:rPr>
        <w:t>4</w:t>
      </w:r>
      <w:r w:rsidRPr="00B82DF3">
        <w:rPr>
          <w:i/>
          <w:sz w:val="20"/>
        </w:rPr>
        <w:t>. Hvis dette er tilfældet, vil det fremgå af afsnittet ”Korrektion for overholdelse af indtægtsramme i prisloft 201</w:t>
      </w:r>
      <w:r>
        <w:rPr>
          <w:i/>
          <w:sz w:val="20"/>
        </w:rPr>
        <w:t>2</w:t>
      </w:r>
      <w:r w:rsidRPr="00B82DF3">
        <w:rPr>
          <w:i/>
          <w:sz w:val="20"/>
        </w:rPr>
        <w:t>” nedenfor.</w:t>
      </w:r>
      <w:r w:rsidRPr="00C61320">
        <w:rPr>
          <w:i/>
          <w:sz w:val="20"/>
        </w:rPr>
        <w:t xml:space="preserve">   </w:t>
      </w:r>
    </w:p>
    <w:p w:rsidR="00375E51" w:rsidP="00375E51" w:rsidRDefault="00375E51">
      <w:pPr>
        <w:jc w:val="both"/>
      </w:pPr>
    </w:p>
    <w:p w:rsidR="00375E51" w:rsidP="00375E51" w:rsidRDefault="00375E51">
      <w:pPr>
        <w:jc w:val="both"/>
      </w:pPr>
      <w:r>
        <w:t xml:space="preserve">Begrundelserne for de fastsatte beløb i tabellen gennemgås enkeltvis i det følgende. </w:t>
      </w:r>
    </w:p>
    <w:p w:rsidR="00BA627A" w:rsidP="00375E51" w:rsidRDefault="00BA627A">
      <w:pPr>
        <w:jc w:val="both"/>
      </w:pPr>
    </w:p>
    <w:p w:rsidR="00375E51" w:rsidP="00375E51" w:rsidRDefault="00375E51">
      <w:pPr>
        <w:jc w:val="both"/>
      </w:pPr>
      <w:r>
        <w:lastRenderedPageBreak/>
        <w:t>Selskabet gøres opmærksom på bestemmelsen i prisloftbekendtgørelsens § 24, stk. 1, hvor det fremgår, at selskabet</w:t>
      </w:r>
      <w:r w:rsidRPr="00762813">
        <w:t xml:space="preserve"> alene </w:t>
      </w:r>
      <w:r>
        <w:t>kan</w:t>
      </w:r>
      <w:r w:rsidRPr="00130B0A">
        <w:t xml:space="preserve"> anvende den likvid</w:t>
      </w:r>
      <w:r w:rsidRPr="00130B0A">
        <w:t>i</w:t>
      </w:r>
      <w:r w:rsidRPr="00130B0A">
        <w:t>tet, som tillæggene for planlagte, gennemførte og historiske investeringer og supplerende investeringstillæg samt korrektionen for gennemførte i</w:t>
      </w:r>
      <w:r w:rsidRPr="00130B0A">
        <w:t>n</w:t>
      </w:r>
      <w:r w:rsidRPr="00130B0A">
        <w:t>vesteringer giver anledning til, jf. § 5, stk. 2</w:t>
      </w:r>
      <w:r w:rsidR="00DB60A4">
        <w:t>,</w:t>
      </w:r>
      <w:r w:rsidRPr="00130B0A">
        <w:t xml:space="preserve"> og §§ 10-12</w:t>
      </w:r>
      <w:r>
        <w:t xml:space="preserve">: </w:t>
      </w:r>
    </w:p>
    <w:p w:rsidR="00375E51" w:rsidP="00375E51" w:rsidRDefault="00375E51">
      <w:pPr>
        <w:pStyle w:val="Listeafsnit"/>
        <w:numPr>
          <w:ilvl w:val="0"/>
          <w:numId w:val="26"/>
        </w:numPr>
        <w:jc w:val="both"/>
      </w:pPr>
      <w:r>
        <w:t>t</w:t>
      </w:r>
      <w:r w:rsidRPr="00130B0A">
        <w:t>il</w:t>
      </w:r>
      <w:r>
        <w:t xml:space="preserve"> </w:t>
      </w:r>
      <w:r w:rsidRPr="00130B0A">
        <w:t xml:space="preserve">finansiering af udgifter til tillægsberettigede investeringer, </w:t>
      </w:r>
    </w:p>
    <w:p w:rsidR="00375E51" w:rsidP="00375E51" w:rsidRDefault="00375E51">
      <w:pPr>
        <w:pStyle w:val="Listeafsnit"/>
        <w:numPr>
          <w:ilvl w:val="0"/>
          <w:numId w:val="26"/>
        </w:numPr>
        <w:jc w:val="both"/>
      </w:pPr>
      <w:r w:rsidRPr="00130B0A">
        <w:t xml:space="preserve">til køb af grunde, </w:t>
      </w:r>
    </w:p>
    <w:p w:rsidR="00375E51" w:rsidP="00375E51" w:rsidRDefault="00375E51">
      <w:pPr>
        <w:pStyle w:val="Listeafsnit"/>
        <w:numPr>
          <w:ilvl w:val="0"/>
          <w:numId w:val="26"/>
        </w:numPr>
        <w:jc w:val="both"/>
      </w:pPr>
      <w:r w:rsidRPr="00130B0A">
        <w:t>til bortskaffelse af akti</w:t>
      </w:r>
      <w:r>
        <w:t>ver, der er taget ud af drift</w:t>
      </w:r>
      <w:r w:rsidRPr="00130B0A">
        <w:t xml:space="preserve"> og reetablering som følge heraf, samt </w:t>
      </w:r>
    </w:p>
    <w:p w:rsidR="00375E51" w:rsidP="00375E51" w:rsidRDefault="00375E51">
      <w:pPr>
        <w:pStyle w:val="Listeafsnit"/>
        <w:numPr>
          <w:ilvl w:val="0"/>
          <w:numId w:val="26"/>
        </w:numPr>
        <w:jc w:val="both"/>
      </w:pPr>
      <w:r w:rsidRPr="00130B0A">
        <w:t>til delvis tilbagebetaling af tilslutningsbidrag ved etablering af a</w:t>
      </w:r>
      <w:r w:rsidRPr="00130B0A">
        <w:t>l</w:t>
      </w:r>
      <w:r w:rsidRPr="00130B0A">
        <w:t xml:space="preserve">ternativ bortskaffelse af tag- og overfladevand. </w:t>
      </w:r>
    </w:p>
    <w:p w:rsidR="00375E51" w:rsidP="00375E51" w:rsidRDefault="00375E51">
      <w:pPr>
        <w:jc w:val="both"/>
      </w:pPr>
    </w:p>
    <w:p w:rsidR="00375E51" w:rsidP="00375E51" w:rsidRDefault="00375E51">
      <w:pPr>
        <w:jc w:val="both"/>
      </w:pPr>
      <w:r w:rsidRPr="00130B0A">
        <w:t>Herudover kan likviditeten fra tilslutningsbidrag og salg af anlægsakt</w:t>
      </w:r>
      <w:r w:rsidRPr="00130B0A">
        <w:t>i</w:t>
      </w:r>
      <w:r w:rsidRPr="00130B0A">
        <w:t>ver, jf. § 21, stk. 4, samt ekstraordinære effektiviseringsgevinster jf. § 26 stk. 2, ud over finansiering af tillægsberettigede investeringer også a</w:t>
      </w:r>
      <w:r w:rsidRPr="00130B0A">
        <w:t>n</w:t>
      </w:r>
      <w:r w:rsidRPr="00130B0A">
        <w:t>vendes</w:t>
      </w:r>
      <w:r>
        <w:t xml:space="preserve">: </w:t>
      </w:r>
    </w:p>
    <w:p w:rsidR="00375E51" w:rsidP="00375E51" w:rsidRDefault="00375E51">
      <w:pPr>
        <w:pStyle w:val="Listeafsnit"/>
        <w:numPr>
          <w:ilvl w:val="0"/>
          <w:numId w:val="27"/>
        </w:numPr>
        <w:jc w:val="both"/>
      </w:pPr>
      <w:r w:rsidRPr="00130B0A">
        <w:t xml:space="preserve">til køb af grunde, </w:t>
      </w:r>
    </w:p>
    <w:p w:rsidR="00375E51" w:rsidP="00375E51" w:rsidRDefault="00375E51">
      <w:pPr>
        <w:pStyle w:val="Listeafsnit"/>
        <w:numPr>
          <w:ilvl w:val="0"/>
          <w:numId w:val="27"/>
        </w:numPr>
        <w:jc w:val="both"/>
      </w:pPr>
      <w:r w:rsidRPr="00130B0A">
        <w:t xml:space="preserve">til bortskaffelse af aktiver, der er taget ud af drift, og reetablering som følge heraf, samt </w:t>
      </w:r>
    </w:p>
    <w:p w:rsidRPr="00130B0A" w:rsidR="00375E51" w:rsidP="00375E51" w:rsidRDefault="00375E51">
      <w:pPr>
        <w:pStyle w:val="Listeafsnit"/>
        <w:numPr>
          <w:ilvl w:val="0"/>
          <w:numId w:val="27"/>
        </w:numPr>
        <w:jc w:val="both"/>
      </w:pPr>
      <w:r w:rsidRPr="00130B0A">
        <w:t>til delvis tilbagebetaling af tilslutningsbidrag ved etablering af a</w:t>
      </w:r>
      <w:r w:rsidRPr="00130B0A">
        <w:t>l</w:t>
      </w:r>
      <w:r w:rsidRPr="00130B0A">
        <w:t>ternativ bortskaffelse af tag- og overfladevand.</w:t>
      </w:r>
    </w:p>
    <w:p w:rsidR="00244B2A" w:rsidP="006C3EAF" w:rsidRDefault="00244B2A">
      <w:pPr>
        <w:jc w:val="both"/>
      </w:pPr>
    </w:p>
    <w:p w:rsidR="007B2AB6" w:rsidP="00244B2A" w:rsidRDefault="007B2AB6">
      <w:pPr>
        <w:pStyle w:val="Overskrift1"/>
        <w:rPr>
          <w:sz w:val="28"/>
          <w:szCs w:val="28"/>
        </w:rPr>
      </w:pPr>
    </w:p>
    <w:p w:rsidR="00375E51" w:rsidP="00375E51" w:rsidRDefault="00375E51">
      <w:pPr>
        <w:pStyle w:val="Overskrift1"/>
        <w:rPr>
          <w:sz w:val="28"/>
          <w:szCs w:val="28"/>
        </w:rPr>
      </w:pPr>
      <w:r w:rsidRPr="002420A2">
        <w:rPr>
          <w:sz w:val="28"/>
          <w:szCs w:val="28"/>
        </w:rPr>
        <w:t>Driftsomkostninger</w:t>
      </w:r>
      <w:r>
        <w:rPr>
          <w:sz w:val="28"/>
          <w:szCs w:val="28"/>
        </w:rPr>
        <w:t xml:space="preserve"> </w:t>
      </w:r>
    </w:p>
    <w:p w:rsidR="00375E51" w:rsidP="00375E51" w:rsidRDefault="00375E51"/>
    <w:p w:rsidRPr="00075DCF" w:rsidR="00375E51" w:rsidP="00375E51" w:rsidRDefault="00375E51">
      <w:pPr>
        <w:rPr>
          <w:b/>
          <w:szCs w:val="24"/>
        </w:rPr>
      </w:pPr>
      <w:r w:rsidRPr="00075DCF">
        <w:rPr>
          <w:b/>
          <w:szCs w:val="24"/>
        </w:rPr>
        <w:t>Korrigerede driftsom</w:t>
      </w:r>
      <w:r>
        <w:rPr>
          <w:b/>
          <w:szCs w:val="24"/>
        </w:rPr>
        <w:t>kostninger i prisloftet for 2013</w:t>
      </w:r>
    </w:p>
    <w:p w:rsidR="00375E51" w:rsidP="00375E51" w:rsidRDefault="00375E51">
      <w:pPr>
        <w:jc w:val="both"/>
        <w:rPr>
          <w:szCs w:val="24"/>
        </w:rPr>
      </w:pPr>
      <w:r>
        <w:rPr>
          <w:szCs w:val="24"/>
        </w:rPr>
        <w:t>Ifølge prisloftbekendtgørelsens § 5, stk. 1, fastsættes de almindelige driftsomkostninger i prisloftet for 2014 som driftsomkostningerne i pri</w:t>
      </w:r>
      <w:r>
        <w:rPr>
          <w:szCs w:val="24"/>
        </w:rPr>
        <w:t>s</w:t>
      </w:r>
      <w:r>
        <w:rPr>
          <w:szCs w:val="24"/>
        </w:rPr>
        <w:t>loftet for 2013 korrigeret for effektiviseringskrav.</w:t>
      </w:r>
    </w:p>
    <w:p w:rsidR="00375E51" w:rsidP="00375E51" w:rsidRDefault="00375E51">
      <w:pPr>
        <w:jc w:val="both"/>
        <w:rPr>
          <w:szCs w:val="24"/>
        </w:rPr>
      </w:pPr>
    </w:p>
    <w:p w:rsidR="00375E51" w:rsidP="00375E51" w:rsidRDefault="00375E51">
      <w:pPr>
        <w:jc w:val="both"/>
        <w:rPr>
          <w:szCs w:val="24"/>
        </w:rPr>
      </w:pPr>
      <w:r>
        <w:rPr>
          <w:szCs w:val="24"/>
        </w:rPr>
        <w:t>Da driftsomkostningerne ikke kan fastsættes lavere end de effektive driftsomkostninger som følger af beregningerne i benchmarkingen, kan selskabets driftsomkostninger i prisloftet for 2013 være forhøjet på ba</w:t>
      </w:r>
      <w:r>
        <w:rPr>
          <w:szCs w:val="24"/>
        </w:rPr>
        <w:t>g</w:t>
      </w:r>
      <w:r>
        <w:rPr>
          <w:szCs w:val="24"/>
        </w:rPr>
        <w:t>grund heraf. Herudover kan driftsomkostningerne være forhøjet på ba</w:t>
      </w:r>
      <w:r>
        <w:rPr>
          <w:szCs w:val="24"/>
        </w:rPr>
        <w:t>g</w:t>
      </w:r>
      <w:r>
        <w:rPr>
          <w:szCs w:val="24"/>
        </w:rPr>
        <w:t xml:space="preserve">grund af ansøgninger herom fra selskabet. </w:t>
      </w:r>
    </w:p>
    <w:p w:rsidR="00375E51" w:rsidP="00375E51" w:rsidRDefault="00375E51">
      <w:pPr>
        <w:jc w:val="both"/>
        <w:rPr>
          <w:szCs w:val="24"/>
        </w:rPr>
      </w:pPr>
      <w:r>
        <w:rPr>
          <w:szCs w:val="24"/>
        </w:rPr>
        <w:t xml:space="preserve">   </w:t>
      </w:r>
    </w:p>
    <w:p w:rsidR="00375E51" w:rsidP="00375E51" w:rsidRDefault="00375E51">
      <w:pPr>
        <w:jc w:val="both"/>
        <w:rPr>
          <w:szCs w:val="24"/>
        </w:rPr>
      </w:pPr>
      <w:r>
        <w:rPr>
          <w:szCs w:val="24"/>
        </w:rPr>
        <w:t>De korrigerede driftsomkostninger for prisloftet for 2013 opgøres således til:</w:t>
      </w:r>
    </w:p>
    <w:p w:rsidR="00375E51" w:rsidP="00375E51" w:rsidRDefault="00375E51">
      <w:pPr>
        <w:rPr>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22"/>
        <w:gridCol w:w="1450"/>
        <w:gridCol w:w="502"/>
      </w:tblGrid>
      <w:tr w:rsidRPr="00257DE4" w:rsidR="00375E51" w:rsidTr="00455CE1">
        <w:tc>
          <w:tcPr>
            <w:tcW w:w="5000" w:type="pct"/>
            <w:gridSpan w:val="3"/>
            <w:tcBorders>
              <w:top w:val="single" w:color="auto" w:sz="4" w:space="0"/>
              <w:left w:val="single" w:color="auto" w:sz="4" w:space="0"/>
              <w:bottom w:val="single" w:color="auto" w:sz="4" w:space="0"/>
              <w:right w:val="single" w:color="auto" w:sz="4" w:space="0"/>
            </w:tcBorders>
            <w:shd w:val="solid" w:color="auto" w:fill="auto"/>
          </w:tcPr>
          <w:p w:rsidRPr="00257DE4" w:rsidR="00375E51" w:rsidP="00455CE1" w:rsidRDefault="00375E51">
            <w:pPr>
              <w:keepNext/>
              <w:rPr>
                <w:b/>
                <w:sz w:val="20"/>
              </w:rPr>
            </w:pPr>
            <w:r w:rsidRPr="00257DE4">
              <w:rPr>
                <w:b/>
                <w:sz w:val="20"/>
              </w:rPr>
              <w:t>Selskabets korrigerede driftsomkostninger i prisloftet for 201</w:t>
            </w:r>
            <w:r>
              <w:rPr>
                <w:b/>
                <w:sz w:val="20"/>
              </w:rPr>
              <w:t>3</w:t>
            </w:r>
          </w:p>
        </w:tc>
      </w:tr>
      <w:tr w:rsidRPr="00257DE4" w:rsidR="00375E51"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keepNext/>
              <w:rPr>
                <w:sz w:val="20"/>
              </w:rPr>
            </w:pPr>
            <w:r w:rsidRPr="00257DE4">
              <w:rPr>
                <w:sz w:val="20"/>
              </w:rPr>
              <w:t>Korrigerede driftsomkostninger i prisloftet for 201</w:t>
            </w:r>
            <w:r>
              <w:rPr>
                <w:sz w:val="20"/>
              </w:rPr>
              <w:t>2</w:t>
            </w:r>
          </w:p>
        </w:tc>
        <w:tc>
          <w:tcPr>
            <w:tcW w:w="997" w:type="pct"/>
            <w:tcBorders>
              <w:top w:val="single" w:color="auto" w:sz="4" w:space="0"/>
              <w:left w:val="single" w:color="auto" w:sz="4" w:space="0"/>
              <w:bottom w:val="single" w:color="auto" w:sz="4" w:space="0"/>
              <w:right w:val="nil"/>
            </w:tcBorders>
            <w:shd w:val="clear" w:color="auto" w:fill="auto"/>
          </w:tcPr>
          <w:p w:rsidRPr="00257DE4" w:rsidR="00375E51" w:rsidP="00455CE1" w:rsidRDefault="00B63E0C">
            <w:pPr>
              <w:keepNext/>
              <w:jc w:val="right"/>
              <w:rPr>
                <w:sz w:val="20"/>
                <w:highlight w:val="magenta"/>
              </w:rPr>
            </w:pPr>
            <w:r w:rsidRPr="00B63E0C">
              <w:rPr>
                <w:sz w:val="20"/>
              </w:rPr>
              <w:t>36.847.652</w:t>
            </w:r>
          </w:p>
        </w:tc>
        <w:tc>
          <w:tcPr>
            <w:tcW w:w="345" w:type="pct"/>
            <w:tcBorders>
              <w:top w:val="single" w:color="auto" w:sz="4" w:space="0"/>
              <w:left w:val="nil"/>
              <w:bottom w:val="single" w:color="auto" w:sz="4" w:space="0"/>
              <w:right w:val="single" w:color="auto" w:sz="4" w:space="0"/>
            </w:tcBorders>
            <w:shd w:val="clear" w:color="auto" w:fill="auto"/>
          </w:tcPr>
          <w:p w:rsidRPr="00257DE4" w:rsidR="00375E51" w:rsidP="00455CE1" w:rsidRDefault="00375E51">
            <w:pPr>
              <w:keepNext/>
              <w:jc w:val="right"/>
              <w:rPr>
                <w:bCs/>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Pr>
                <w:sz w:val="20"/>
              </w:rPr>
              <w:t>Prisfremskrivning</w:t>
            </w:r>
            <w:r w:rsidRPr="00257DE4">
              <w:rPr>
                <w:sz w:val="20"/>
              </w:rPr>
              <w:t xml:space="preserve"> </w:t>
            </w:r>
            <w:r>
              <w:rPr>
                <w:sz w:val="20"/>
              </w:rPr>
              <w:t>3,1</w:t>
            </w:r>
            <w:r w:rsidRPr="00257DE4">
              <w:rPr>
                <w:sz w:val="20"/>
              </w:rPr>
              <w:t xml:space="preserve"> pct.</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B63E0C">
            <w:pPr>
              <w:keepNext/>
              <w:jc w:val="right"/>
              <w:rPr>
                <w:sz w:val="20"/>
                <w:highlight w:val="magenta"/>
              </w:rPr>
            </w:pPr>
            <w:r w:rsidRPr="00B63E0C">
              <w:rPr>
                <w:sz w:val="20"/>
              </w:rPr>
              <w:t>1.142.277</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bCs/>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sidRPr="00257DE4">
              <w:rPr>
                <w:sz w:val="20"/>
              </w:rPr>
              <w:t>Generelt effektiviseringskrav 0 pct.</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AD4B44">
            <w:pPr>
              <w:keepNext/>
              <w:jc w:val="right"/>
              <w:rPr>
                <w:sz w:val="20"/>
                <w:highlight w:val="magenta"/>
              </w:rPr>
            </w:pPr>
            <w:r w:rsidRPr="00257DE4">
              <w:rPr>
                <w:sz w:val="20"/>
              </w:rPr>
              <w:t>0</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6E26AE" w:rsidRDefault="00B63E0C">
            <w:pPr>
              <w:keepNext/>
              <w:rPr>
                <w:sz w:val="20"/>
              </w:rPr>
            </w:pPr>
            <w:r w:rsidRPr="00B63E0C">
              <w:rPr>
                <w:sz w:val="20"/>
              </w:rPr>
              <w:t xml:space="preserve">Forhøjelse efter </w:t>
            </w:r>
            <w:r w:rsidRPr="00B63E0C" w:rsidR="00AD4B44">
              <w:rPr>
                <w:sz w:val="20"/>
              </w:rPr>
              <w:t>§ 8, stk. 5</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6E26AE" w:rsidRDefault="00B63E0C">
            <w:pPr>
              <w:keepNext/>
              <w:jc w:val="right"/>
              <w:rPr>
                <w:sz w:val="20"/>
                <w:highlight w:val="magenta"/>
              </w:rPr>
            </w:pPr>
            <w:r w:rsidRPr="00B63E0C">
              <w:rPr>
                <w:sz w:val="20"/>
              </w:rPr>
              <w:t>5.619.697</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sidRPr="00257DE4">
              <w:rPr>
                <w:sz w:val="20"/>
              </w:rPr>
              <w:t>Individuelt effektiviseringskrav</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B63E0C">
            <w:pPr>
              <w:keepNext/>
              <w:jc w:val="right"/>
              <w:rPr>
                <w:sz w:val="20"/>
                <w:highlight w:val="magenta"/>
              </w:rPr>
            </w:pPr>
            <w:r w:rsidRPr="00B63E0C">
              <w:rPr>
                <w:sz w:val="20"/>
              </w:rPr>
              <w:t>-1.842.383</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solid" w:color="auto" w:fill="auto"/>
          </w:tcPr>
          <w:p w:rsidRPr="00257DE4" w:rsidR="00AD4B44" w:rsidP="00455CE1" w:rsidRDefault="00AD4B44">
            <w:pPr>
              <w:keepNext/>
              <w:rPr>
                <w:b/>
                <w:sz w:val="20"/>
              </w:rPr>
            </w:pPr>
            <w:r w:rsidRPr="00257DE4">
              <w:rPr>
                <w:b/>
                <w:sz w:val="20"/>
              </w:rPr>
              <w:t>Korrigerede driftsomkostninger i prisloftet for 201</w:t>
            </w:r>
            <w:r>
              <w:rPr>
                <w:b/>
                <w:sz w:val="20"/>
              </w:rPr>
              <w:t>3</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B63E0C" w:rsidRDefault="00B63E0C">
            <w:pPr>
              <w:keepNext/>
              <w:jc w:val="right"/>
              <w:rPr>
                <w:sz w:val="20"/>
                <w:highlight w:val="magenta"/>
              </w:rPr>
            </w:pPr>
            <w:bookmarkStart w:name="KorrDrift" w:id="7"/>
            <w:r w:rsidRPr="00B63E0C">
              <w:rPr>
                <w:sz w:val="20"/>
              </w:rPr>
              <w:t>41.767.243</w:t>
            </w:r>
            <w:bookmarkEnd w:id="7"/>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bCs/>
                <w:sz w:val="20"/>
              </w:rPr>
            </w:pPr>
            <w:r w:rsidRPr="00257DE4">
              <w:rPr>
                <w:sz w:val="20"/>
              </w:rPr>
              <w:t>kr.</w:t>
            </w:r>
          </w:p>
        </w:tc>
      </w:tr>
    </w:tbl>
    <w:p w:rsidR="00375E51" w:rsidP="00375E51" w:rsidRDefault="00375E51">
      <w:pPr>
        <w:jc w:val="both"/>
        <w:rPr>
          <w:szCs w:val="24"/>
        </w:rPr>
      </w:pPr>
    </w:p>
    <w:p w:rsidR="001417F8" w:rsidP="00375E51" w:rsidRDefault="001417F8">
      <w:pPr>
        <w:jc w:val="both"/>
        <w:rPr>
          <w:szCs w:val="24"/>
        </w:rPr>
      </w:pPr>
    </w:p>
    <w:p w:rsidR="001417F8" w:rsidP="00375E51" w:rsidRDefault="001417F8">
      <w:pPr>
        <w:jc w:val="both"/>
        <w:rPr>
          <w:szCs w:val="24"/>
        </w:rPr>
      </w:pPr>
    </w:p>
    <w:p w:rsidRPr="00075DCF" w:rsidR="00375E51" w:rsidP="00375E51" w:rsidRDefault="00375E51">
      <w:pPr>
        <w:rPr>
          <w:b/>
          <w:szCs w:val="24"/>
        </w:rPr>
      </w:pPr>
      <w:r>
        <w:rPr>
          <w:b/>
          <w:szCs w:val="24"/>
        </w:rPr>
        <w:lastRenderedPageBreak/>
        <w:t>Bortfald af væsentlige omkostninger</w:t>
      </w:r>
    </w:p>
    <w:p w:rsidR="00375E51" w:rsidP="00375E51" w:rsidRDefault="00375E51">
      <w:pPr>
        <w:jc w:val="both"/>
        <w:rPr>
          <w:szCs w:val="24"/>
        </w:rPr>
      </w:pPr>
      <w:r>
        <w:rPr>
          <w:szCs w:val="24"/>
        </w:rPr>
        <w:t>Udgangspunktet for prisloftet for 2014 skal ifølge prisloftbekendtgøre</w:t>
      </w:r>
      <w:r>
        <w:rPr>
          <w:szCs w:val="24"/>
        </w:rPr>
        <w:t>l</w:t>
      </w:r>
      <w:r>
        <w:rPr>
          <w:szCs w:val="24"/>
        </w:rPr>
        <w:t>sens § 5, stk. 1, korrigeres for væsentlige omkostninger, som selskaberne har haft i perioden 2003-2005, men som er bortfaldet eller forventes at bortfalde inden 2014.</w:t>
      </w:r>
    </w:p>
    <w:p w:rsidR="00375E51" w:rsidP="00375E51" w:rsidRDefault="00375E51">
      <w:pPr>
        <w:jc w:val="both"/>
        <w:rPr>
          <w:szCs w:val="24"/>
        </w:rPr>
      </w:pPr>
    </w:p>
    <w:p w:rsidR="00375E51" w:rsidP="00375E51" w:rsidRDefault="00375E51">
      <w:pPr>
        <w:jc w:val="both"/>
        <w:rPr>
          <w:szCs w:val="24"/>
        </w:rPr>
      </w:pPr>
      <w:r>
        <w:t>Selskabet har ikke indberettet væsentlige omkostninger, som er bortfa</w:t>
      </w:r>
      <w:r>
        <w:t>l</w:t>
      </w:r>
      <w:r>
        <w:t>det inden 2014.</w:t>
      </w:r>
    </w:p>
    <w:p w:rsidRPr="009E1F66" w:rsidR="00807134" w:rsidP="00807134" w:rsidRDefault="00807134">
      <w:pPr>
        <w:jc w:val="both"/>
        <w:rPr>
          <w:szCs w:val="24"/>
        </w:rPr>
      </w:pPr>
    </w:p>
    <w:p w:rsidRPr="00075DCF" w:rsidR="00375E51" w:rsidP="00375E51" w:rsidRDefault="00375E51">
      <w:pPr>
        <w:rPr>
          <w:b/>
          <w:szCs w:val="24"/>
        </w:rPr>
      </w:pPr>
      <w:r w:rsidRPr="00075DCF">
        <w:rPr>
          <w:b/>
          <w:szCs w:val="24"/>
        </w:rPr>
        <w:t>Korrektion for prisudvikling</w:t>
      </w:r>
    </w:p>
    <w:p w:rsidR="00375E51" w:rsidP="00375E51" w:rsidRDefault="00375E51">
      <w:pPr>
        <w:jc w:val="both"/>
      </w:pPr>
      <w:r>
        <w:t>De korrigerede driftsomkostninger i prisloftet for 2013 korrigeres for prisudviklingen fra 2013 til 2014, jf. prisloftbekendtgørelsens § 32, stk. 2. Korrektionen for prisudviklingen sker, efter der er foretaget en eve</w:t>
      </w:r>
      <w:r>
        <w:t>n</w:t>
      </w:r>
      <w:r w:rsidRPr="00345707">
        <w:t>tuel korrektion for et bortfald af væsentlige omkostninger fra perioden 2003-2005, som beskrevet i det foregående afsnit.</w:t>
      </w:r>
      <w:r>
        <w:t xml:space="preserve">    </w:t>
      </w:r>
    </w:p>
    <w:p w:rsidR="00375E51" w:rsidP="00375E51" w:rsidRDefault="00375E51">
      <w:pPr>
        <w:jc w:val="both"/>
      </w:pPr>
    </w:p>
    <w:p w:rsidR="00375E51" w:rsidP="00375E51" w:rsidRDefault="00375E51">
      <w:pPr>
        <w:jc w:val="both"/>
      </w:pPr>
      <w:r>
        <w:t>Prisudviklingen er udregnet ved en vægtning af nedenstående prisindeks fra Danmarks Statistik, jf. prisloftbekendtgørelsens § 32, stk. 1:</w:t>
      </w:r>
    </w:p>
    <w:p w:rsidR="00375E51" w:rsidP="00375E51" w:rsidRDefault="00375E51">
      <w:pPr>
        <w:numPr>
          <w:ilvl w:val="0"/>
          <w:numId w:val="3"/>
        </w:numPr>
        <w:tabs>
          <w:tab w:val="clear" w:pos="360"/>
          <w:tab w:val="num" w:pos="720"/>
        </w:tabs>
        <w:spacing w:line="240" w:lineRule="auto"/>
        <w:ind w:left="720"/>
        <w:jc w:val="both"/>
      </w:pPr>
      <w:r>
        <w:t>Omkostningsindeks for anlæg (BYG 6, undergruppen ”Jorda</w:t>
      </w:r>
      <w:r>
        <w:t>r</w:t>
      </w:r>
      <w:r>
        <w:t>bejde mv.”) vægtes 35 pct.</w:t>
      </w:r>
    </w:p>
    <w:p w:rsidR="00375E51" w:rsidP="00375E51" w:rsidRDefault="00375E51">
      <w:pPr>
        <w:numPr>
          <w:ilvl w:val="0"/>
          <w:numId w:val="3"/>
        </w:numPr>
        <w:tabs>
          <w:tab w:val="clear" w:pos="360"/>
          <w:tab w:val="num" w:pos="720"/>
        </w:tabs>
        <w:spacing w:line="240" w:lineRule="auto"/>
        <w:ind w:left="720"/>
        <w:jc w:val="both"/>
      </w:pPr>
      <w:r>
        <w:t>Omkostningsindeks for anlæg (BYG 6, undergruppen ”Asfalta</w:t>
      </w:r>
      <w:r>
        <w:t>r</w:t>
      </w:r>
      <w:r>
        <w:t>bejde”) vægtes 15 pct.</w:t>
      </w:r>
    </w:p>
    <w:p w:rsidR="00375E51" w:rsidP="00375E51" w:rsidRDefault="00375E51">
      <w:pPr>
        <w:numPr>
          <w:ilvl w:val="0"/>
          <w:numId w:val="3"/>
        </w:numPr>
        <w:tabs>
          <w:tab w:val="clear" w:pos="360"/>
          <w:tab w:val="num" w:pos="720"/>
        </w:tabs>
        <w:spacing w:line="240" w:lineRule="auto"/>
        <w:ind w:left="720"/>
        <w:jc w:val="both"/>
      </w:pPr>
      <w:r>
        <w:t>Byggeomkostningsindeks for boliger (BYG 4) vægtes 30 pct.</w:t>
      </w:r>
    </w:p>
    <w:p w:rsidR="00375E51" w:rsidP="00375E51" w:rsidRDefault="00375E51">
      <w:pPr>
        <w:numPr>
          <w:ilvl w:val="0"/>
          <w:numId w:val="3"/>
        </w:numPr>
        <w:tabs>
          <w:tab w:val="clear" w:pos="360"/>
          <w:tab w:val="num" w:pos="720"/>
        </w:tabs>
        <w:spacing w:line="240" w:lineRule="auto"/>
        <w:ind w:left="720"/>
        <w:jc w:val="both"/>
      </w:pPr>
      <w:r>
        <w:t>Prisindeks for indenlandsk vareforsyning (PRIS 11, undergru</w:t>
      </w:r>
      <w:r>
        <w:t>p</w:t>
      </w:r>
      <w:r>
        <w:t>pen ”Andre maskiner og apparater”) vægtes 20 pct.</w:t>
      </w:r>
    </w:p>
    <w:p w:rsidR="00375E51" w:rsidP="00375E51" w:rsidRDefault="00375E51">
      <w:pPr>
        <w:jc w:val="both"/>
      </w:pPr>
    </w:p>
    <w:p w:rsidR="00375E51" w:rsidP="00375E51" w:rsidRDefault="00375E51">
      <w:pPr>
        <w:jc w:val="both"/>
      </w:pPr>
      <w:r>
        <w:t>I beregningen til brug for prisloftet for 2014 anvendes prisudviklingen fra ultimo 2011 til ultimo 2012, som er det senest tilgængelige kalende</w:t>
      </w:r>
      <w:r>
        <w:t>r</w:t>
      </w:r>
      <w:r>
        <w:t xml:space="preserve">år. </w:t>
      </w:r>
    </w:p>
    <w:p w:rsidR="00375E51" w:rsidP="00375E51" w:rsidRDefault="00375E51">
      <w:pPr>
        <w:autoSpaceDE w:val="0"/>
        <w:autoSpaceDN w:val="0"/>
        <w:adjustRightInd w:val="0"/>
        <w:jc w:val="both"/>
        <w:rPr>
          <w:color w:val="000000"/>
          <w:sz w:val="20"/>
        </w:rPr>
      </w:pPr>
    </w:p>
    <w:p w:rsidR="00375E51" w:rsidP="00375E51" w:rsidRDefault="00375E51">
      <w:pPr>
        <w:jc w:val="both"/>
      </w:pPr>
      <w:r w:rsidRPr="00BB0466">
        <w:t>Prisudviklingen fra 201</w:t>
      </w:r>
      <w:r>
        <w:t>3</w:t>
      </w:r>
      <w:r w:rsidRPr="00BB0466">
        <w:t xml:space="preserve"> til 201</w:t>
      </w:r>
      <w:r>
        <w:t>4</w:t>
      </w:r>
      <w:r w:rsidRPr="00BB0466">
        <w:t xml:space="preserve"> kan på den baggrund opgøres til </w:t>
      </w:r>
      <w:r>
        <w:t>1,5</w:t>
      </w:r>
      <w:r w:rsidRPr="00BB0466">
        <w:t xml:space="preserve"> pct., jf. tabellen nedenfor. Det betyder, at de korrigerede driftsomkos</w:t>
      </w:r>
      <w:r w:rsidRPr="00BB0466">
        <w:t>t</w:t>
      </w:r>
      <w:r w:rsidRPr="00BB0466">
        <w:t>ninger i prisloftet for 201</w:t>
      </w:r>
      <w:r>
        <w:t>3</w:t>
      </w:r>
      <w:r w:rsidRPr="00BB0466">
        <w:t xml:space="preserve"> skal ganges med 1,0</w:t>
      </w:r>
      <w:r>
        <w:t>15</w:t>
      </w:r>
      <w:r w:rsidRPr="00BB0466">
        <w:t xml:space="preserve"> for at få driftsomkos</w:t>
      </w:r>
      <w:r w:rsidRPr="00BB0466">
        <w:t>t</w:t>
      </w:r>
      <w:r w:rsidRPr="00BB0466">
        <w:t>ningerne i 201</w:t>
      </w:r>
      <w:r>
        <w:t>4</w:t>
      </w:r>
      <w:r w:rsidRPr="00BB0466">
        <w:t>-priser.</w:t>
      </w:r>
    </w:p>
    <w:p w:rsidR="00375E51" w:rsidP="00375E51" w:rsidRDefault="00375E51">
      <w:pPr>
        <w:autoSpaceDE w:val="0"/>
        <w:autoSpaceDN w:val="0"/>
        <w:adjustRightInd w:val="0"/>
        <w:jc w:val="both"/>
        <w:rPr>
          <w:rFonts w:ascii="Arial" w:hAnsi="Arial" w:cs="Arial"/>
          <w:b/>
          <w:bCs/>
          <w:color w:val="000000"/>
          <w:sz w:val="22"/>
          <w:szCs w:val="22"/>
        </w:rPr>
      </w:pPr>
    </w:p>
    <w:p w:rsidR="00375E51" w:rsidP="00375E51" w:rsidRDefault="00375E51">
      <w:pPr>
        <w:autoSpaceDE w:val="0"/>
        <w:autoSpaceDN w:val="0"/>
        <w:adjustRightInd w:val="0"/>
        <w:jc w:val="both"/>
        <w:rPr>
          <w:bCs/>
          <w:i/>
          <w:color w:val="000000"/>
        </w:rPr>
      </w:pPr>
      <w:r>
        <w:rPr>
          <w:bCs/>
          <w:i/>
          <w:color w:val="000000"/>
        </w:rPr>
        <w:t>Opgørelse af prisindeks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78"/>
        <w:gridCol w:w="1248"/>
        <w:gridCol w:w="1248"/>
      </w:tblGrid>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rPr>
                <w:b/>
                <w:color w:val="FFFFFF"/>
                <w:sz w:val="20"/>
              </w:rPr>
            </w:pPr>
            <w:r w:rsidRPr="00257DE4">
              <w:rPr>
                <w:b/>
                <w:color w:val="FFFFFF"/>
                <w:sz w:val="20"/>
              </w:rPr>
              <w:t xml:space="preserve">Opgørelsestidspunkt </w:t>
            </w:r>
          </w:p>
        </w:tc>
        <w:tc>
          <w:tcPr>
            <w:tcW w:w="858"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jc w:val="right"/>
              <w:rPr>
                <w:b/>
                <w:color w:val="FFFFFF"/>
                <w:sz w:val="20"/>
              </w:rPr>
            </w:pPr>
            <w:r w:rsidRPr="00257DE4">
              <w:rPr>
                <w:b/>
                <w:color w:val="FFFFFF"/>
                <w:sz w:val="20"/>
              </w:rPr>
              <w:t>ultimo 201</w:t>
            </w:r>
            <w:r>
              <w:rPr>
                <w:b/>
                <w:color w:val="FFFFFF"/>
                <w:sz w:val="20"/>
              </w:rPr>
              <w:t>1</w:t>
            </w:r>
          </w:p>
        </w:tc>
        <w:tc>
          <w:tcPr>
            <w:tcW w:w="858"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jc w:val="right"/>
              <w:rPr>
                <w:b/>
                <w:color w:val="FFFFFF"/>
                <w:sz w:val="20"/>
              </w:rPr>
            </w:pPr>
            <w:r w:rsidRPr="00257DE4">
              <w:rPr>
                <w:b/>
                <w:color w:val="FFFFFF"/>
                <w:sz w:val="20"/>
              </w:rPr>
              <w:t>ultimo 201</w:t>
            </w:r>
            <w:r>
              <w:rPr>
                <w:b/>
                <w:color w:val="FFFFFF"/>
                <w:sz w:val="20"/>
              </w:rPr>
              <w:t>2</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BYG 6: Jordarbejde mv. (35 pct.)</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0</w:t>
            </w:r>
            <w:r w:rsidRPr="00257DE4">
              <w:rPr>
                <w:color w:val="000000"/>
                <w:sz w:val="20"/>
              </w:rPr>
              <w:t>,</w:t>
            </w:r>
            <w:r>
              <w:rPr>
                <w:color w:val="000000"/>
                <w:sz w:val="20"/>
              </w:rPr>
              <w:t>7</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BYG 6: Asfaltarbejde (15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0</w:t>
            </w:r>
            <w:r w:rsidRPr="00257DE4">
              <w:rPr>
                <w:color w:val="000000"/>
                <w:sz w:val="20"/>
              </w:rPr>
              <w:t>,</w:t>
            </w:r>
            <w:r>
              <w:rPr>
                <w:color w:val="000000"/>
                <w:sz w:val="20"/>
              </w:rPr>
              <w:t>1</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BYG 4: Byggeomkostningsindeks for boliger (30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2,4</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PRIS 11: Andre maskiner og apparater (20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Pr>
                <w:color w:val="000000"/>
                <w:sz w:val="20"/>
              </w:rPr>
              <w:t>102</w:t>
            </w:r>
            <w:r w:rsidRPr="00257DE4">
              <w:rPr>
                <w:color w:val="000000"/>
                <w:sz w:val="20"/>
              </w:rPr>
              <w:t>,</w:t>
            </w:r>
            <w:r>
              <w:rPr>
                <w:color w:val="000000"/>
                <w:sz w:val="20"/>
              </w:rPr>
              <w:t>7</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rPr>
                <w:color w:val="FFFFFF"/>
                <w:sz w:val="20"/>
              </w:rPr>
            </w:pPr>
            <w:r w:rsidRPr="00257DE4">
              <w:rPr>
                <w:b/>
                <w:bCs/>
                <w:color w:val="FFFFFF"/>
                <w:sz w:val="20"/>
              </w:rPr>
              <w:t>Vægtet indeks (0,35*10</w:t>
            </w:r>
            <w:r>
              <w:rPr>
                <w:b/>
                <w:bCs/>
                <w:color w:val="FFFFFF"/>
                <w:sz w:val="20"/>
              </w:rPr>
              <w:t>0</w:t>
            </w:r>
            <w:r w:rsidRPr="00257DE4">
              <w:rPr>
                <w:b/>
                <w:bCs/>
                <w:color w:val="FFFFFF"/>
                <w:sz w:val="20"/>
              </w:rPr>
              <w:t>,</w:t>
            </w:r>
            <w:r>
              <w:rPr>
                <w:b/>
                <w:bCs/>
                <w:color w:val="FFFFFF"/>
                <w:sz w:val="20"/>
              </w:rPr>
              <w:t>7</w:t>
            </w:r>
            <w:r w:rsidRPr="00257DE4">
              <w:rPr>
                <w:b/>
                <w:bCs/>
                <w:color w:val="FFFFFF"/>
                <w:sz w:val="20"/>
              </w:rPr>
              <w:t>+0,15*10</w:t>
            </w:r>
            <w:r>
              <w:rPr>
                <w:b/>
                <w:bCs/>
                <w:color w:val="FFFFFF"/>
                <w:sz w:val="20"/>
              </w:rPr>
              <w:t>0</w:t>
            </w:r>
            <w:r w:rsidRPr="00257DE4">
              <w:rPr>
                <w:b/>
                <w:bCs/>
                <w:color w:val="FFFFFF"/>
                <w:sz w:val="20"/>
              </w:rPr>
              <w:t>,</w:t>
            </w:r>
            <w:r>
              <w:rPr>
                <w:b/>
                <w:bCs/>
                <w:color w:val="FFFFFF"/>
                <w:sz w:val="20"/>
              </w:rPr>
              <w:t>1</w:t>
            </w:r>
            <w:r w:rsidRPr="00257DE4">
              <w:rPr>
                <w:b/>
                <w:bCs/>
                <w:color w:val="FFFFFF"/>
                <w:sz w:val="20"/>
              </w:rPr>
              <w:t>+0,3*10</w:t>
            </w:r>
            <w:r>
              <w:rPr>
                <w:b/>
                <w:bCs/>
                <w:color w:val="FFFFFF"/>
                <w:sz w:val="20"/>
              </w:rPr>
              <w:t>2,4</w:t>
            </w:r>
            <w:r w:rsidRPr="00257DE4">
              <w:rPr>
                <w:b/>
                <w:bCs/>
                <w:color w:val="FFFFFF"/>
                <w:sz w:val="20"/>
              </w:rPr>
              <w:t>+0,2*</w:t>
            </w:r>
            <w:r>
              <w:rPr>
                <w:b/>
                <w:bCs/>
                <w:color w:val="FFFFFF"/>
                <w:sz w:val="20"/>
              </w:rPr>
              <w:t>102,7</w:t>
            </w:r>
            <w:r w:rsidRPr="00257DE4">
              <w:rPr>
                <w:b/>
                <w:bCs/>
                <w:color w:val="FFFFFF"/>
                <w:sz w:val="20"/>
              </w:rPr>
              <w:t xml:space="preserve">) </w:t>
            </w:r>
          </w:p>
        </w:tc>
        <w:tc>
          <w:tcPr>
            <w:tcW w:w="858" w:type="pct"/>
            <w:tcBorders>
              <w:top w:val="single" w:color="auto" w:sz="4" w:space="0"/>
              <w:left w:val="single" w:color="auto" w:sz="4" w:space="0"/>
              <w:bottom w:val="single" w:color="auto" w:sz="4" w:space="0"/>
              <w:right w:val="single" w:color="auto" w:sz="4" w:space="0"/>
            </w:tcBorders>
            <w:shd w:val="clear" w:color="auto" w:fill="000000"/>
            <w:vAlign w:val="center"/>
          </w:tcPr>
          <w:p w:rsidRPr="00257DE4" w:rsidR="00375E51" w:rsidP="00455CE1" w:rsidRDefault="00375E51">
            <w:pPr>
              <w:autoSpaceDE w:val="0"/>
              <w:autoSpaceDN w:val="0"/>
              <w:adjustRightInd w:val="0"/>
              <w:jc w:val="right"/>
              <w:rPr>
                <w:b/>
                <w:color w:val="FFFFFF"/>
                <w:sz w:val="20"/>
              </w:rPr>
            </w:pPr>
            <w:r w:rsidRPr="00257DE4">
              <w:rPr>
                <w:b/>
                <w:color w:val="FFFFFF"/>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000000"/>
            <w:vAlign w:val="center"/>
          </w:tcPr>
          <w:p w:rsidRPr="00257DE4" w:rsidR="00375E51" w:rsidP="00455CE1" w:rsidRDefault="00375E51">
            <w:pPr>
              <w:autoSpaceDE w:val="0"/>
              <w:autoSpaceDN w:val="0"/>
              <w:adjustRightInd w:val="0"/>
              <w:jc w:val="right"/>
              <w:rPr>
                <w:b/>
                <w:color w:val="FFFFFF"/>
                <w:sz w:val="20"/>
              </w:rPr>
            </w:pPr>
            <w:r w:rsidRPr="00257DE4">
              <w:rPr>
                <w:b/>
                <w:color w:val="FFFFFF"/>
                <w:sz w:val="20"/>
              </w:rPr>
              <w:t>10</w:t>
            </w:r>
            <w:r>
              <w:rPr>
                <w:b/>
                <w:color w:val="FFFFFF"/>
                <w:sz w:val="20"/>
              </w:rPr>
              <w:t>1</w:t>
            </w:r>
            <w:r w:rsidRPr="00257DE4">
              <w:rPr>
                <w:b/>
                <w:color w:val="FFFFFF"/>
                <w:sz w:val="20"/>
              </w:rPr>
              <w:t>,</w:t>
            </w:r>
            <w:r>
              <w:rPr>
                <w:b/>
                <w:color w:val="FFFFFF"/>
                <w:sz w:val="20"/>
              </w:rPr>
              <w:t>5</w:t>
            </w:r>
          </w:p>
        </w:tc>
      </w:tr>
    </w:tbl>
    <w:p w:rsidR="00375E51" w:rsidP="00375E51" w:rsidRDefault="00375E51">
      <w:pPr>
        <w:autoSpaceDE w:val="0"/>
        <w:autoSpaceDN w:val="0"/>
        <w:adjustRightInd w:val="0"/>
        <w:spacing w:line="240" w:lineRule="auto"/>
        <w:jc w:val="both"/>
      </w:pPr>
      <w:r>
        <w:rPr>
          <w:i/>
          <w:iCs/>
          <w:color w:val="000000"/>
          <w:sz w:val="14"/>
          <w:szCs w:val="14"/>
        </w:rPr>
        <w:t>Kilde: Forsyningssekretariatets beregning baseret på tal fra Danmarks Statistiks ”BYG 6: Omkostningsindeks for anlæg e</w:t>
      </w:r>
      <w:r>
        <w:rPr>
          <w:i/>
          <w:iCs/>
          <w:color w:val="000000"/>
          <w:sz w:val="14"/>
          <w:szCs w:val="14"/>
        </w:rPr>
        <w:t>f</w:t>
      </w:r>
      <w:r>
        <w:rPr>
          <w:i/>
          <w:iCs/>
          <w:color w:val="000000"/>
          <w:sz w:val="14"/>
          <w:szCs w:val="14"/>
        </w:rPr>
        <w:t>ter art og indekstype” (undergrupperne ”Jordarbejde mv.” samt ”Asfaltarbejde”), ”BYG 4: Byggeomkostningsindeks for b</w:t>
      </w:r>
      <w:r>
        <w:rPr>
          <w:i/>
          <w:iCs/>
          <w:color w:val="000000"/>
          <w:sz w:val="14"/>
          <w:szCs w:val="14"/>
        </w:rPr>
        <w:t>o</w:t>
      </w:r>
      <w:r>
        <w:rPr>
          <w:i/>
          <w:iCs/>
          <w:color w:val="000000"/>
          <w:sz w:val="14"/>
          <w:szCs w:val="14"/>
        </w:rPr>
        <w:t>liger efter hovedindeks, delindeks og art” (hovedindekset ”Byggeomkostningsindeks for boliger”, delindekset ”Byggeo</w:t>
      </w:r>
      <w:r>
        <w:rPr>
          <w:i/>
          <w:iCs/>
          <w:color w:val="000000"/>
          <w:sz w:val="14"/>
          <w:szCs w:val="14"/>
        </w:rPr>
        <w:t>m</w:t>
      </w:r>
      <w:r>
        <w:rPr>
          <w:i/>
          <w:iCs/>
          <w:color w:val="000000"/>
          <w:sz w:val="14"/>
          <w:szCs w:val="14"/>
        </w:rPr>
        <w:t>kostningsindeks i alt” og art ”I alt”) og ”PRIS 11: Prisindeks for indenlandsk vareforsyning efter varegruppe” (varegruppen ”Andre maskiner og apparater” under gruppe 84).</w:t>
      </w:r>
    </w:p>
    <w:p w:rsidR="00375E51" w:rsidP="00375E51" w:rsidRDefault="00375E51">
      <w:pPr>
        <w:jc w:val="both"/>
      </w:pPr>
    </w:p>
    <w:p w:rsidR="00375E51" w:rsidP="00375E51" w:rsidRDefault="00375E51">
      <w:pPr>
        <w:jc w:val="both"/>
      </w:pPr>
      <w:r>
        <w:t xml:space="preserve">Den samlede korrektion for prisudviklingen kan således opgøres til </w:t>
      </w:r>
      <w:bookmarkStart w:name="PrisUdv" w:id="8"/>
      <w:r w:rsidRPr="00B63E0C" w:rsidR="00B63E0C">
        <w:t>626.509</w:t>
      </w:r>
      <w:bookmarkEnd w:id="8"/>
      <w:r>
        <w:rPr>
          <w:szCs w:val="24"/>
        </w:rPr>
        <w:t xml:space="preserve"> </w:t>
      </w:r>
      <w:r>
        <w:t xml:space="preserve">kr., </w:t>
      </w:r>
      <w:r w:rsidRPr="00BB0466">
        <w:t xml:space="preserve">svarende til </w:t>
      </w:r>
      <w:r>
        <w:t xml:space="preserve">1,5 pct. af </w:t>
      </w:r>
      <w:r w:rsidRPr="00B63E0C" w:rsidR="00B63E0C">
        <w:t>41.767.243</w:t>
      </w:r>
      <w:r>
        <w:t xml:space="preserve"> kr. De pristalskorrigerede </w:t>
      </w:r>
      <w:r>
        <w:lastRenderedPageBreak/>
        <w:t xml:space="preserve">driftsomkostninger kan således opgøres til </w:t>
      </w:r>
      <w:r w:rsidRPr="00B63E0C" w:rsidR="00B63E0C">
        <w:t>42.393.752</w:t>
      </w:r>
      <w:r>
        <w:t xml:space="preserve"> kr. </w:t>
      </w:r>
      <w:r w:rsidRPr="00F77FB5">
        <w:t>(</w:t>
      </w:r>
      <w:r>
        <w:t>1,</w:t>
      </w:r>
      <w:r w:rsidRPr="00BB0466">
        <w:t>0</w:t>
      </w:r>
      <w:r>
        <w:t>15</w:t>
      </w:r>
      <w:r w:rsidRPr="00F77FB5">
        <w:t>*</w:t>
      </w:r>
      <w:r w:rsidRPr="00B63E0C" w:rsidR="00B63E0C">
        <w:t>41.767.243</w:t>
      </w:r>
      <w:r w:rsidR="00B63E0C">
        <w:t xml:space="preserve"> </w:t>
      </w:r>
      <w:r w:rsidRPr="00F77FB5">
        <w:t>kr.)</w:t>
      </w:r>
      <w:r>
        <w:t>.</w:t>
      </w:r>
    </w:p>
    <w:p w:rsidR="00807134" w:rsidP="00807134" w:rsidRDefault="00807134">
      <w:pPr>
        <w:jc w:val="both"/>
      </w:pPr>
    </w:p>
    <w:p w:rsidRPr="00075DCF" w:rsidR="00AE1521" w:rsidP="00AE1521" w:rsidRDefault="00AE1521">
      <w:pPr>
        <w:rPr>
          <w:b/>
          <w:szCs w:val="24"/>
        </w:rPr>
      </w:pPr>
      <w:r>
        <w:rPr>
          <w:b/>
          <w:szCs w:val="24"/>
        </w:rPr>
        <w:t>Forhøjelse til effektivt niveau iht. benchmarkingen</w:t>
      </w:r>
    </w:p>
    <w:p w:rsidR="00AE1521" w:rsidP="00AE1521" w:rsidRDefault="00AE1521">
      <w:pPr>
        <w:jc w:val="both"/>
      </w:pPr>
      <w:r>
        <w:t>Ifølge prisloftbekendtgørelsens § 5, stk. 1, kan de pristalskorrigerede driftsomkostninger ikke fastsættes lavere end det, der udgør de effektive driftsomkostninger for et vandselskab i henhold til beregningerne i benchmarkingen.</w:t>
      </w:r>
    </w:p>
    <w:p w:rsidR="00AE1521" w:rsidP="00AE1521" w:rsidRDefault="00AE1521">
      <w:pPr>
        <w:jc w:val="both"/>
      </w:pPr>
    </w:p>
    <w:p w:rsidR="00AE1521" w:rsidP="00AE1521" w:rsidRDefault="00AE1521">
      <w:pPr>
        <w:jc w:val="both"/>
      </w:pPr>
      <w:r>
        <w:t xml:space="preserve">De effektive driftsomkostninger for selskabet udgør </w:t>
      </w:r>
      <w:r w:rsidRPr="00633885" w:rsidR="00633885">
        <w:t>24.844.790</w:t>
      </w:r>
      <w:r w:rsidR="00633885">
        <w:t xml:space="preserve"> </w:t>
      </w:r>
      <w:r>
        <w:t xml:space="preserve">kr. De pristalskorrigerede driftsomkostninger for selskabet er </w:t>
      </w:r>
      <w:r w:rsidRPr="00041E1A">
        <w:t>højere</w:t>
      </w:r>
      <w:r>
        <w:t xml:space="preserve"> end de e</w:t>
      </w:r>
      <w:r>
        <w:t>f</w:t>
      </w:r>
      <w:r>
        <w:t>fektive driftsomkostninger for selskabet. De pristalskorrigerede drift</w:t>
      </w:r>
      <w:r>
        <w:t>s</w:t>
      </w:r>
      <w:r>
        <w:t>omkostninger forhøjes derfor ikke.</w:t>
      </w:r>
    </w:p>
    <w:p w:rsidR="00AE1521" w:rsidP="00AE1521" w:rsidRDefault="00AE1521">
      <w:pPr>
        <w:jc w:val="both"/>
      </w:pPr>
    </w:p>
    <w:p w:rsidRPr="00075DCF" w:rsidR="00AE1521" w:rsidP="00AE1521" w:rsidRDefault="00AE1521">
      <w:pPr>
        <w:rPr>
          <w:b/>
          <w:szCs w:val="24"/>
        </w:rPr>
      </w:pPr>
      <w:r w:rsidRPr="00075DCF">
        <w:rPr>
          <w:b/>
          <w:szCs w:val="24"/>
        </w:rPr>
        <w:t>Korrektion for generelt effektiviseringskrav</w:t>
      </w:r>
    </w:p>
    <w:p w:rsidR="00AE1521" w:rsidP="00AE1521" w:rsidRDefault="00AE1521">
      <w:pPr>
        <w:autoSpaceDE w:val="0"/>
        <w:autoSpaceDN w:val="0"/>
        <w:adjustRightInd w:val="0"/>
        <w:jc w:val="both"/>
      </w:pPr>
      <w:r>
        <w:t>For at sikre at hvert vandselskab løbende øger sin effektivitet i takt med, at produktiviteten og effektiviteten øges i andre erhverv, skal selskabet leve op til et generelt effektiviseringskrav. Det fremgår således af pri</w:t>
      </w:r>
      <w:r>
        <w:t>s</w:t>
      </w:r>
      <w:r>
        <w:t>loftbekendtgørelsens § 5, stk. 1, at prisloftet korrigeres med fradrag af et generelt effektiviseringskrav.</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Det generelle effektiviseringskrav er baseret på den generelle produktiv</w:t>
      </w:r>
      <w:r>
        <w:t>i</w:t>
      </w:r>
      <w:r>
        <w:t>tetsudvikling i dansk erhvervsliv (indgår i effektiviseringskravet med 70 pct.) og på udviklingen inden for bygge- og anlægssektoren (indgår i e</w:t>
      </w:r>
      <w:r>
        <w:t>f</w:t>
      </w:r>
      <w:r>
        <w:t xml:space="preserve">fektiviseringskravet med 30 pct.), jf. prisloftbekendtgørelsens § 14, stk. 1. </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Produktivitetsudviklingen opgjort efter disse indeks kan udvise betydel</w:t>
      </w:r>
      <w:r>
        <w:t>i</w:t>
      </w:r>
      <w:r>
        <w:t>ge variationer fra år til år. For at sikre en mere stabil og forudsigelig u</w:t>
      </w:r>
      <w:r>
        <w:t>d</w:t>
      </w:r>
      <w:r>
        <w:t>vikling i de generelle effektiviseringskrav, som skal stilles til vandse</w:t>
      </w:r>
      <w:r>
        <w:t>l</w:t>
      </w:r>
      <w:r>
        <w:t>skaberne i prisreguleringen i 2014 og årene fremover, foretages bere</w:t>
      </w:r>
      <w:r>
        <w:t>g</w:t>
      </w:r>
      <w:r>
        <w:t>ningen som et (rullende) gennemsnit af produktivitetsudviklingen i de ti seneste år, som er tilgængelige på tidspunktet for fastsættelsen af prislo</w:t>
      </w:r>
      <w:r>
        <w:t>f</w:t>
      </w:r>
      <w:r>
        <w:t>tet, jf. prisloftbekendtgørelsens § 14, stk. 1.</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I prisloftet for 2014</w:t>
      </w:r>
      <w:r w:rsidRPr="00C5008B">
        <w:t xml:space="preserve"> fastsættes selskabernes generelle effektivisering</w:t>
      </w:r>
      <w:r w:rsidRPr="00C5008B">
        <w:t>s</w:t>
      </w:r>
      <w:r w:rsidRPr="00C5008B">
        <w:t>krav som et</w:t>
      </w:r>
      <w:r>
        <w:t xml:space="preserve"> såkaldt</w:t>
      </w:r>
      <w:r w:rsidRPr="00C5008B">
        <w:t xml:space="preserve"> geometrisk gennemsnit af produktivitetsudviklingen i den nuværende senest tilgængelige 10-årige periode. </w:t>
      </w:r>
    </w:p>
    <w:p w:rsidRPr="00622ED9" w:rsidR="00AE1521" w:rsidP="00AE1521" w:rsidRDefault="00AE1521">
      <w:pPr>
        <w:autoSpaceDE w:val="0"/>
        <w:autoSpaceDN w:val="0"/>
        <w:adjustRightInd w:val="0"/>
        <w:jc w:val="both"/>
        <w:rPr>
          <w:highlight w:val="cyan"/>
        </w:rPr>
      </w:pPr>
    </w:p>
    <w:p w:rsidR="00AE1521" w:rsidP="00AE1521" w:rsidRDefault="00AE1521">
      <w:pPr>
        <w:autoSpaceDE w:val="0"/>
        <w:autoSpaceDN w:val="0"/>
        <w:adjustRightInd w:val="0"/>
        <w:jc w:val="both"/>
      </w:pPr>
      <w:r>
        <w:t>Den gennemsnitlige produktivitetsudvikling fremgår af nedenstående t</w:t>
      </w:r>
      <w:r>
        <w:t>a</w:t>
      </w:r>
      <w:r>
        <w:t>bel.</w:t>
      </w:r>
    </w:p>
    <w:p w:rsidR="00AE1521" w:rsidP="00AE1521" w:rsidRDefault="00AE1521">
      <w:pPr>
        <w:autoSpaceDE w:val="0"/>
        <w:autoSpaceDN w:val="0"/>
        <w:adjustRightInd w:val="0"/>
        <w:jc w:val="both"/>
      </w:pPr>
    </w:p>
    <w:p w:rsidR="002A58ED" w:rsidP="00AE1521" w:rsidRDefault="002A58ED">
      <w:pPr>
        <w:autoSpaceDE w:val="0"/>
        <w:autoSpaceDN w:val="0"/>
        <w:adjustRightInd w:val="0"/>
        <w:jc w:val="both"/>
      </w:pPr>
    </w:p>
    <w:p w:rsidR="002A58ED" w:rsidP="00AE1521" w:rsidRDefault="002A58ED">
      <w:pPr>
        <w:autoSpaceDE w:val="0"/>
        <w:autoSpaceDN w:val="0"/>
        <w:adjustRightInd w:val="0"/>
        <w:jc w:val="both"/>
      </w:pPr>
    </w:p>
    <w:p w:rsidR="002A58ED" w:rsidP="00AE1521" w:rsidRDefault="002A58ED">
      <w:pPr>
        <w:autoSpaceDE w:val="0"/>
        <w:autoSpaceDN w:val="0"/>
        <w:adjustRightInd w:val="0"/>
        <w:jc w:val="both"/>
      </w:pPr>
    </w:p>
    <w:p w:rsidR="002A58ED" w:rsidP="00AE1521" w:rsidRDefault="002A58ED">
      <w:pPr>
        <w:autoSpaceDE w:val="0"/>
        <w:autoSpaceDN w:val="0"/>
        <w:adjustRightInd w:val="0"/>
        <w:jc w:val="both"/>
      </w:pPr>
    </w:p>
    <w:p w:rsidR="002A58ED" w:rsidP="00AE1521" w:rsidRDefault="002A58ED">
      <w:pPr>
        <w:autoSpaceDE w:val="0"/>
        <w:autoSpaceDN w:val="0"/>
        <w:adjustRightInd w:val="0"/>
        <w:jc w:val="both"/>
      </w:pPr>
    </w:p>
    <w:p w:rsidR="002A58ED" w:rsidP="00AE1521" w:rsidRDefault="002A58ED">
      <w:pPr>
        <w:autoSpaceDE w:val="0"/>
        <w:autoSpaceDN w:val="0"/>
        <w:adjustRightInd w:val="0"/>
        <w:jc w:val="both"/>
      </w:pPr>
    </w:p>
    <w:p w:rsidR="002A58ED" w:rsidP="00AE1521" w:rsidRDefault="002A58ED">
      <w:pPr>
        <w:autoSpaceDE w:val="0"/>
        <w:autoSpaceDN w:val="0"/>
        <w:adjustRightInd w:val="0"/>
        <w:jc w:val="both"/>
      </w:pPr>
    </w:p>
    <w:p w:rsidR="00AE1521" w:rsidP="00AE1521" w:rsidRDefault="00AE1521">
      <w:pPr>
        <w:jc w:val="both"/>
        <w:rPr>
          <w:i/>
        </w:rPr>
      </w:pPr>
      <w:r>
        <w:rPr>
          <w:i/>
        </w:rPr>
        <w:lastRenderedPageBreak/>
        <w:t>Opgørelse af den gennemsnitlige produktivitetsudvikling</w:t>
      </w:r>
    </w:p>
    <w:tbl>
      <w:tblPr>
        <w:tblW w:w="7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0"/>
        <w:gridCol w:w="624"/>
        <w:gridCol w:w="664"/>
        <w:gridCol w:w="624"/>
        <w:gridCol w:w="616"/>
        <w:gridCol w:w="616"/>
        <w:gridCol w:w="616"/>
        <w:gridCol w:w="616"/>
        <w:gridCol w:w="616"/>
        <w:gridCol w:w="616"/>
        <w:gridCol w:w="616"/>
      </w:tblGrid>
      <w:tr w:rsidRPr="00BE2FAD"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rPr>
                <w:b/>
                <w:bCs/>
                <w:color w:val="FFFFFF" w:themeColor="background1"/>
                <w:sz w:val="20"/>
              </w:rPr>
            </w:pPr>
            <w:r w:rsidRPr="003B0CB2">
              <w:rPr>
                <w:b/>
                <w:bCs/>
                <w:color w:val="FFFFFF" w:themeColor="background1"/>
                <w:sz w:val="20"/>
              </w:rPr>
              <w:t>År</w:t>
            </w:r>
          </w:p>
        </w:tc>
        <w:tc>
          <w:tcPr>
            <w:tcW w:w="62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2001</w:t>
            </w:r>
          </w:p>
        </w:tc>
        <w:tc>
          <w:tcPr>
            <w:tcW w:w="66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2002</w:t>
            </w:r>
          </w:p>
        </w:tc>
        <w:tc>
          <w:tcPr>
            <w:tcW w:w="62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2003</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2004</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2005</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2006</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2007</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2008</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2009</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2010</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Dansk e</w:t>
            </w:r>
            <w:r w:rsidRPr="00257DE4">
              <w:rPr>
                <w:sz w:val="20"/>
              </w:rPr>
              <w:t>r</w:t>
            </w:r>
            <w:r w:rsidRPr="00257DE4">
              <w:rPr>
                <w:sz w:val="20"/>
              </w:rPr>
              <w:t>hvervsliv (70 %)</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-1,2</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-0,6</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3,3</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Bygge og anlæg (30 %)</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-10,1</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0,1</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3B0CB2" w:rsidR="00AE1521" w:rsidP="00455CE1" w:rsidRDefault="00AE1521">
            <w:pPr>
              <w:jc w:val="right"/>
              <w:rPr>
                <w:sz w:val="20"/>
              </w:rPr>
            </w:pPr>
            <w:r w:rsidRPr="003B0CB2">
              <w:rPr>
                <w:sz w:val="20"/>
              </w:rPr>
              <w:t>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3B0CB2" w:rsidR="00AE1521" w:rsidP="00455CE1" w:rsidRDefault="00AE1521">
            <w:pPr>
              <w:jc w:val="right"/>
              <w:rPr>
                <w:sz w:val="20"/>
              </w:rPr>
            </w:pPr>
            <w:r w:rsidRPr="003B0CB2">
              <w:rPr>
                <w:sz w:val="20"/>
              </w:rPr>
              <w:t>-0,7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-4,7</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Vægtet udvikling</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-3,9</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-0,4</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0,9</w:t>
            </w:r>
          </w:p>
        </w:tc>
      </w:tr>
      <w:tr w:rsidRPr="00257DE4" w:rsidR="00AE1521" w:rsidTr="00455CE1">
        <w:tc>
          <w:tcPr>
            <w:tcW w:w="0" w:type="auto"/>
            <w:gridSpan w:val="11"/>
            <w:tcBorders>
              <w:top w:val="single" w:color="auto" w:sz="4" w:space="0"/>
              <w:left w:val="single" w:color="auto" w:sz="4" w:space="0"/>
              <w:bottom w:val="single" w:color="auto" w:sz="4" w:space="0"/>
              <w:right w:val="single" w:color="auto" w:sz="4" w:space="0"/>
            </w:tcBorders>
            <w:shd w:val="clear" w:color="auto" w:fill="000000"/>
          </w:tcPr>
          <w:p w:rsidRPr="00257DE4" w:rsidR="00AE1521" w:rsidP="00455CE1" w:rsidRDefault="00AE1521">
            <w:pPr>
              <w:autoSpaceDE w:val="0"/>
              <w:autoSpaceDN w:val="0"/>
              <w:adjustRightInd w:val="0"/>
              <w:rPr>
                <w:b/>
                <w:bCs/>
                <w:color w:val="FFFFFF"/>
                <w:sz w:val="20"/>
              </w:rPr>
            </w:pPr>
            <w:r w:rsidRPr="00257DE4">
              <w:rPr>
                <w:b/>
                <w:bCs/>
                <w:color w:val="FFFFFF"/>
                <w:sz w:val="20"/>
              </w:rPr>
              <w:t>10-års gennemsnit                                                                                                       -0,</w:t>
            </w:r>
            <w:r>
              <w:rPr>
                <w:b/>
                <w:bCs/>
                <w:color w:val="FFFFFF"/>
                <w:sz w:val="20"/>
              </w:rPr>
              <w:t>65</w:t>
            </w:r>
          </w:p>
        </w:tc>
      </w:tr>
    </w:tbl>
    <w:p w:rsidR="00AE1521" w:rsidP="00AE1521" w:rsidRDefault="00AE1521">
      <w:pPr>
        <w:autoSpaceDE w:val="0"/>
        <w:autoSpaceDN w:val="0"/>
        <w:adjustRightInd w:val="0"/>
        <w:spacing w:line="240" w:lineRule="auto"/>
        <w:jc w:val="both"/>
      </w:pPr>
      <w:r>
        <w:rPr>
          <w:i/>
          <w:iCs/>
          <w:sz w:val="14"/>
          <w:szCs w:val="14"/>
        </w:rPr>
        <w:t>Kilde: Forsyningssekretariatets beregning baseret på tal fra Danmarks Statistiks ”NAT25: Produktivitetsudviklingen efter branche, type og prisenhed” for brancherne ”Markedsmæssig økonomi i alt” og ”4. Bygge og anlæg” ved typen ”Totalfa</w:t>
      </w:r>
      <w:r>
        <w:rPr>
          <w:i/>
          <w:iCs/>
          <w:sz w:val="14"/>
          <w:szCs w:val="14"/>
        </w:rPr>
        <w:t>k</w:t>
      </w:r>
      <w:r>
        <w:rPr>
          <w:i/>
          <w:iCs/>
          <w:sz w:val="14"/>
          <w:szCs w:val="14"/>
        </w:rPr>
        <w:t>torproduktivitet” for årene 2001-2010.</w:t>
      </w:r>
    </w:p>
    <w:p w:rsidR="00AE1521" w:rsidP="00AE1521" w:rsidRDefault="00AE1521">
      <w:pPr>
        <w:jc w:val="both"/>
      </w:pPr>
    </w:p>
    <w:p w:rsidR="00AE1521" w:rsidP="00AE1521" w:rsidRDefault="00AE1521">
      <w:pPr>
        <w:jc w:val="both"/>
      </w:pPr>
      <w:r w:rsidRPr="00E326C8">
        <w:t xml:space="preserve">Den gennemsnitlige produktivitetsudvikling bliver således </w:t>
      </w:r>
      <w:r>
        <w:t>-0,65</w:t>
      </w:r>
      <w:r w:rsidRPr="00E326C8">
        <w:t xml:space="preserve"> pct. Det fremgår af prisloftbekendtgørelsens § 5, stk. 1, </w:t>
      </w:r>
      <w:r>
        <w:t>at udgangspunktet for prisloftet skal korrigeres med fradrag af et generelt effektiviseringskrav. Da den gennemsnitlige produktivitetsudvikling er negativ, kan der ikke foretages et fradrag af et generelt effektiviseringskrav.</w:t>
      </w:r>
    </w:p>
    <w:p w:rsidR="00AE1521" w:rsidP="00AE1521" w:rsidRDefault="00AE1521">
      <w:pPr>
        <w:jc w:val="both"/>
      </w:pPr>
    </w:p>
    <w:p w:rsidR="00AE1521" w:rsidP="00AE1521" w:rsidRDefault="00AE1521">
      <w:pPr>
        <w:jc w:val="both"/>
      </w:pPr>
      <w:r>
        <w:t>Det generelle effektiviseringskrav bortfalder derfor i prisloftet for 2014.</w:t>
      </w:r>
    </w:p>
    <w:p w:rsidR="00807134" w:rsidP="00807134" w:rsidRDefault="00807134">
      <w:pPr>
        <w:jc w:val="both"/>
      </w:pPr>
    </w:p>
    <w:p w:rsidRPr="00075DCF" w:rsidR="00AE1521" w:rsidP="00AE1521" w:rsidRDefault="00AE1521">
      <w:pPr>
        <w:rPr>
          <w:b/>
          <w:szCs w:val="24"/>
        </w:rPr>
      </w:pPr>
      <w:r w:rsidRPr="00075DCF">
        <w:rPr>
          <w:b/>
          <w:szCs w:val="24"/>
        </w:rPr>
        <w:t>Korrektion for individuelt effektiviseringskrav</w:t>
      </w:r>
    </w:p>
    <w:p w:rsidR="00AE1521" w:rsidP="00AE1521" w:rsidRDefault="00AE1521">
      <w:pPr>
        <w:jc w:val="both"/>
        <w:rPr>
          <w:color w:val="000000"/>
        </w:rPr>
      </w:pPr>
      <w:r>
        <w:rPr>
          <w:color w:val="000000"/>
        </w:rPr>
        <w:t>Det individuelle effektiviseringskrav fastsættes på baggrund af de resu</w:t>
      </w:r>
      <w:r>
        <w:rPr>
          <w:color w:val="000000"/>
        </w:rPr>
        <w:t>l</w:t>
      </w:r>
      <w:r>
        <w:rPr>
          <w:color w:val="000000"/>
        </w:rPr>
        <w:t xml:space="preserve">tater, der fremkommer i Forsyningssekretariatets resultatorienterede benchmarking, jf. prisloftbekendtgørelsens § 15, stk. 1. </w:t>
      </w:r>
    </w:p>
    <w:p w:rsidR="00AE1521" w:rsidP="00AE1521" w:rsidRDefault="00AE1521">
      <w:pPr>
        <w:jc w:val="both"/>
        <w:rPr>
          <w:color w:val="000000"/>
        </w:rPr>
      </w:pPr>
    </w:p>
    <w:p w:rsidR="00AE1521" w:rsidP="00AE1521" w:rsidRDefault="00AE1521">
      <w:pPr>
        <w:jc w:val="both"/>
        <w:rPr>
          <w:color w:val="000000"/>
        </w:rPr>
      </w:pPr>
      <w:r>
        <w:rPr>
          <w:color w:val="000000"/>
        </w:rPr>
        <w:t>Det er Forsyningssekretariatet, der fastsætter grundlaget for den resulta</w:t>
      </w:r>
      <w:r>
        <w:rPr>
          <w:color w:val="000000"/>
        </w:rPr>
        <w:t>t</w:t>
      </w:r>
      <w:r>
        <w:rPr>
          <w:color w:val="000000"/>
        </w:rPr>
        <w:t>orienterede benchmarking, jf. prisloftbekendtgørelsens § 27, stk. 2. M</w:t>
      </w:r>
      <w:r>
        <w:rPr>
          <w:color w:val="000000"/>
        </w:rPr>
        <w:t>o</w:t>
      </w:r>
      <w:r>
        <w:rPr>
          <w:color w:val="000000"/>
        </w:rPr>
        <w:t>dellen og resultaterne af benchmarkingen er offentliggjort på Konkurre</w:t>
      </w:r>
      <w:r>
        <w:rPr>
          <w:color w:val="000000"/>
        </w:rPr>
        <w:t>n</w:t>
      </w:r>
      <w:r>
        <w:rPr>
          <w:color w:val="000000"/>
        </w:rPr>
        <w:t>ce- og Forbrugerstyrelsens hjemmeside.</w:t>
      </w:r>
      <w:r>
        <w:rPr>
          <w:rStyle w:val="Fodnotehenvisning"/>
          <w:color w:val="000000"/>
        </w:rPr>
        <w:footnoteReference w:id="1"/>
      </w:r>
    </w:p>
    <w:p w:rsidR="00AE1521" w:rsidP="00AE1521" w:rsidRDefault="00AE1521">
      <w:pPr>
        <w:jc w:val="both"/>
        <w:rPr>
          <w:color w:val="000000"/>
        </w:rPr>
      </w:pPr>
    </w:p>
    <w:p w:rsidR="00AE1521" w:rsidP="00AE1521" w:rsidRDefault="00AE1521">
      <w:pPr>
        <w:jc w:val="both"/>
        <w:rPr>
          <w:color w:val="000000"/>
        </w:rPr>
      </w:pPr>
      <w:r>
        <w:rPr>
          <w:color w:val="000000"/>
        </w:rPr>
        <w:t>Ved fastsættelsen af selskabets individuelle effektiviseringspotentiale f</w:t>
      </w:r>
      <w:r>
        <w:rPr>
          <w:color w:val="000000"/>
        </w:rPr>
        <w:t>o</w:t>
      </w:r>
      <w:r>
        <w:rPr>
          <w:color w:val="000000"/>
        </w:rPr>
        <w:t>retages en række trin for at sikre</w:t>
      </w:r>
      <w:r w:rsidR="0082064E">
        <w:rPr>
          <w:color w:val="000000"/>
        </w:rPr>
        <w:t>,</w:t>
      </w:r>
      <w:r>
        <w:rPr>
          <w:color w:val="000000"/>
        </w:rPr>
        <w:t xml:space="preserve"> at selskabets individuelle effektivis</w:t>
      </w:r>
      <w:r>
        <w:rPr>
          <w:color w:val="000000"/>
        </w:rPr>
        <w:t>e</w:t>
      </w:r>
      <w:r>
        <w:rPr>
          <w:color w:val="000000"/>
        </w:rPr>
        <w:t>ringspotentiale er retvisende. Der tages blandt andet hensyn til selskabets særlige forhold, herunder hvorvidt selskabets beliggenhed har betydning for selskabets effektiviseringspotentiale, samt om selskabets samme</w:t>
      </w:r>
      <w:r>
        <w:rPr>
          <w:color w:val="000000"/>
        </w:rPr>
        <w:t>n</w:t>
      </w:r>
      <w:r>
        <w:rPr>
          <w:color w:val="000000"/>
        </w:rPr>
        <w:t>sætning af costdrivere har betydning for selskabets effektiviseringspote</w:t>
      </w:r>
      <w:r>
        <w:rPr>
          <w:color w:val="000000"/>
        </w:rPr>
        <w:t>n</w:t>
      </w:r>
      <w:r>
        <w:rPr>
          <w:color w:val="000000"/>
        </w:rPr>
        <w:t>tiale.</w:t>
      </w:r>
    </w:p>
    <w:p w:rsidR="00AE1521" w:rsidP="00AE1521" w:rsidRDefault="00AE1521">
      <w:pPr>
        <w:jc w:val="both"/>
        <w:rPr>
          <w:color w:val="000000"/>
        </w:rPr>
      </w:pPr>
    </w:p>
    <w:p w:rsidR="00AE1521" w:rsidP="00AE1521" w:rsidRDefault="00AE1521">
      <w:pPr>
        <w:jc w:val="both"/>
        <w:rPr>
          <w:color w:val="000000"/>
        </w:rPr>
      </w:pPr>
      <w:r>
        <w:rPr>
          <w:color w:val="000000"/>
        </w:rPr>
        <w:t xml:space="preserve">I det følgende gennemgås først selskabets angivelser af </w:t>
      </w:r>
      <w:r w:rsidRPr="00427DE9">
        <w:rPr>
          <w:i/>
          <w:color w:val="000000"/>
        </w:rPr>
        <w:t>særlige forhold</w:t>
      </w:r>
      <w:r>
        <w:rPr>
          <w:color w:val="000000"/>
        </w:rPr>
        <w:t xml:space="preserve">. Derefter gennemgås, hvorvidt selskabets </w:t>
      </w:r>
      <w:r w:rsidRPr="00427DE9">
        <w:rPr>
          <w:i/>
          <w:color w:val="000000"/>
        </w:rPr>
        <w:t>sammensætning af costdrivere</w:t>
      </w:r>
      <w:r>
        <w:rPr>
          <w:color w:val="000000"/>
        </w:rPr>
        <w:t xml:space="preserve"> har betydning for selskabets effektiviseringspotentiale. Og endelig er der en </w:t>
      </w:r>
      <w:r w:rsidRPr="00427DE9">
        <w:rPr>
          <w:i/>
          <w:color w:val="000000"/>
        </w:rPr>
        <w:t>samlet vurdering</w:t>
      </w:r>
      <w:r>
        <w:rPr>
          <w:color w:val="000000"/>
        </w:rPr>
        <w:t>, hvoraf det fremgår, hvilke elementer der har haft betydning for opgørelsen af selskabets effektiviseringspotentiale.</w:t>
      </w:r>
    </w:p>
    <w:p w:rsidR="001B7C8D" w:rsidP="00AE1521" w:rsidRDefault="001B7C8D">
      <w:pPr>
        <w:jc w:val="both"/>
        <w:rPr>
          <w:color w:val="000000"/>
        </w:rPr>
      </w:pPr>
    </w:p>
    <w:p w:rsidR="00633885" w:rsidP="00AE1521" w:rsidRDefault="00633885">
      <w:pPr>
        <w:jc w:val="both"/>
        <w:rPr>
          <w:color w:val="000000"/>
        </w:rPr>
      </w:pPr>
    </w:p>
    <w:p w:rsidRPr="000E216D" w:rsidR="00633885" w:rsidP="00633885" w:rsidRDefault="00633885">
      <w:pPr>
        <w:jc w:val="both"/>
        <w:rPr>
          <w:color w:val="000000"/>
          <w:u w:val="single"/>
        </w:rPr>
      </w:pPr>
      <w:r>
        <w:rPr>
          <w:color w:val="000000"/>
          <w:u w:val="single"/>
        </w:rPr>
        <w:lastRenderedPageBreak/>
        <w:t>S</w:t>
      </w:r>
      <w:r w:rsidRPr="000E216D">
        <w:rPr>
          <w:color w:val="000000"/>
          <w:u w:val="single"/>
        </w:rPr>
        <w:t>ærlige forhold</w:t>
      </w:r>
    </w:p>
    <w:p w:rsidR="00633885" w:rsidP="00633885" w:rsidRDefault="00633885">
      <w:pPr>
        <w:jc w:val="both"/>
        <w:rPr>
          <w:color w:val="000000"/>
        </w:rPr>
      </w:pPr>
      <w:r>
        <w:rPr>
          <w:color w:val="000000"/>
        </w:rPr>
        <w:t>Selskabet har ikke angivet særlige forhold.</w:t>
      </w:r>
    </w:p>
    <w:p w:rsidR="00633885" w:rsidP="00AE1521" w:rsidRDefault="00633885">
      <w:pPr>
        <w:jc w:val="both"/>
        <w:rPr>
          <w:color w:val="000000"/>
        </w:rPr>
      </w:pPr>
    </w:p>
    <w:p w:rsidRPr="00D26749" w:rsidR="00D26749" w:rsidP="00D26749" w:rsidRDefault="00D26749">
      <w:pPr>
        <w:jc w:val="both"/>
        <w:rPr>
          <w:u w:val="single"/>
        </w:rPr>
      </w:pPr>
      <w:r>
        <w:rPr>
          <w:u w:val="single"/>
        </w:rPr>
        <w:t>Høringssvar</w:t>
      </w:r>
    </w:p>
    <w:p w:rsidRPr="00D26749" w:rsidR="00D26749" w:rsidP="00D26749" w:rsidRDefault="00D26749">
      <w:pPr>
        <w:jc w:val="both"/>
      </w:pPr>
      <w:r w:rsidRPr="00D26749">
        <w:t>Selskabet angiver i høringssvaret, at selskabet mener, at de individuelle effektiviseringskrav ikke kan fastsættes på baggrund af benchmarkin</w:t>
      </w:r>
      <w:r w:rsidRPr="00D26749">
        <w:t>g</w:t>
      </w:r>
      <w:r w:rsidRPr="00D26749">
        <w:t>modellen, fordi kontrollen af datakvaliteten ifølge selskabet ikke er ti</w:t>
      </w:r>
      <w:r w:rsidRPr="00D26749">
        <w:t>l</w:t>
      </w:r>
      <w:r w:rsidRPr="00D26749">
        <w:t xml:space="preserve">fredsstillende. </w:t>
      </w:r>
    </w:p>
    <w:p w:rsidRPr="007A53FA" w:rsidR="00D26749" w:rsidP="00D26749" w:rsidRDefault="00D26749">
      <w:pPr>
        <w:jc w:val="both"/>
        <w:rPr>
          <w:i/>
        </w:rPr>
      </w:pPr>
    </w:p>
    <w:p w:rsidR="00D26749" w:rsidP="00D26749" w:rsidRDefault="00D26749">
      <w:pPr>
        <w:jc w:val="both"/>
      </w:pPr>
      <w:r>
        <w:t>Forsyningssekretariatet bemærker, at sekretariatet har gennemgået sam</w:t>
      </w:r>
      <w:r>
        <w:t>t</w:t>
      </w:r>
      <w:r w:rsidR="00BD5319">
        <w:t>lige selskabers indberetninger</w:t>
      </w:r>
      <w:r>
        <w:t xml:space="preserve"> og vurderet rigtigheden af oplysningerne på baggrund af den generelle kvalitet af et selskabs indberetning. En lang række selskaber er i den forbindelse blevet kontaktet, hvis der har været uoverensstemmelser i deres indberetning med hensyn til mængder eller omkostninger.</w:t>
      </w:r>
    </w:p>
    <w:p w:rsidRPr="00C007B2" w:rsidR="00D26749" w:rsidP="00D26749" w:rsidRDefault="00D26749">
      <w:pPr>
        <w:jc w:val="both"/>
      </w:pPr>
    </w:p>
    <w:p w:rsidRPr="00D26749" w:rsidR="00D26749" w:rsidP="00D26749" w:rsidRDefault="00D26749">
      <w:pPr>
        <w:jc w:val="both"/>
      </w:pPr>
      <w:r w:rsidRPr="00D26749">
        <w:t xml:space="preserve">Selskabet angiver </w:t>
      </w:r>
      <w:r>
        <w:t>desuden</w:t>
      </w:r>
      <w:r w:rsidRPr="00D26749">
        <w:t xml:space="preserve"> i høringssvaret, at selskabet mener, at det er et fundamentalt problem, at der ikke redegøres for</w:t>
      </w:r>
      <w:r w:rsidR="00FC5FAF">
        <w:t>,</w:t>
      </w:r>
      <w:r w:rsidRPr="00D26749">
        <w:t xml:space="preserve"> hvordan det individuelle effektiviseringskrav er fastsat ud over en linje i et generelt regneark. </w:t>
      </w:r>
    </w:p>
    <w:p w:rsidRPr="007A53FA" w:rsidR="00D26749" w:rsidP="00D26749" w:rsidRDefault="00D26749">
      <w:pPr>
        <w:jc w:val="both"/>
        <w:rPr>
          <w:i/>
        </w:rPr>
      </w:pPr>
    </w:p>
    <w:p w:rsidR="00D26749" w:rsidP="00D26749" w:rsidRDefault="00D26749">
      <w:pPr>
        <w:jc w:val="both"/>
      </w:pPr>
      <w:r>
        <w:t>Forsyningssekretariatet henviser til hovedpapiret ”Resultatorienteret benchmarking af vand- og spildevandsforsyningerne 2014” med tilh</w:t>
      </w:r>
      <w:r>
        <w:t>ø</w:t>
      </w:r>
      <w:r>
        <w:t>rende bilag for en nærmere redegørelse af beregningen af selskabets e</w:t>
      </w:r>
      <w:r>
        <w:t>f</w:t>
      </w:r>
      <w:r>
        <w:t>fektiviseringskrav.</w:t>
      </w:r>
    </w:p>
    <w:p w:rsidR="00D26749" w:rsidP="00D26749" w:rsidRDefault="00D26749">
      <w:pPr>
        <w:jc w:val="both"/>
      </w:pPr>
    </w:p>
    <w:p w:rsidR="00D26749" w:rsidP="00D26749" w:rsidRDefault="00D26749">
      <w:pPr>
        <w:jc w:val="both"/>
      </w:pPr>
      <w:r>
        <w:t>Forsyningssekretariatet bemærker, at en gengivelse af beregningerne i</w:t>
      </w:r>
      <w:r>
        <w:t>k</w:t>
      </w:r>
      <w:r>
        <w:t>ke er mulig, da DEA-modellen er baseret på lineær programmering. Denne metode fungerer som en iterativ proces, og det er derfor ikke m</w:t>
      </w:r>
      <w:r>
        <w:t>u</w:t>
      </w:r>
      <w:r w:rsidR="00633885">
        <w:t>ligt at o</w:t>
      </w:r>
      <w:r>
        <w:t>pstille en konkret beregning for selskabe</w:t>
      </w:r>
      <w:r w:rsidRPr="00D17076">
        <w:t>t.</w:t>
      </w:r>
      <w:r>
        <w:t xml:space="preserve"> </w:t>
      </w:r>
    </w:p>
    <w:p w:rsidR="00D26749" w:rsidP="00AE1521" w:rsidRDefault="00D26749">
      <w:pPr>
        <w:jc w:val="both"/>
      </w:pPr>
    </w:p>
    <w:p w:rsidRPr="00633885" w:rsidR="00633885" w:rsidP="00AE1521" w:rsidRDefault="00633885">
      <w:pPr>
        <w:jc w:val="both"/>
        <w:rPr>
          <w:i/>
          <w:color w:val="000000"/>
          <w:u w:val="single"/>
        </w:rPr>
      </w:pPr>
      <w:r>
        <w:rPr>
          <w:i/>
        </w:rPr>
        <w:t>Særlige forhold i høringssvar</w:t>
      </w:r>
    </w:p>
    <w:p w:rsidR="00D26749" w:rsidP="00AE1521" w:rsidRDefault="00D17076">
      <w:pPr>
        <w:jc w:val="both"/>
        <w:rPr>
          <w:color w:val="000000"/>
        </w:rPr>
      </w:pPr>
      <w:r>
        <w:rPr>
          <w:color w:val="000000"/>
        </w:rPr>
        <w:t>Selskabet har i høringssvar af 27. august 2013 a</w:t>
      </w:r>
      <w:r w:rsidR="00FC5FAF">
        <w:rPr>
          <w:color w:val="000000"/>
        </w:rPr>
        <w:t>ngivet følgende særlige forhold:</w:t>
      </w:r>
    </w:p>
    <w:p w:rsidR="00D17076" w:rsidP="00AE1521" w:rsidRDefault="00D17076">
      <w:pPr>
        <w:jc w:val="both"/>
        <w:rPr>
          <w:color w:val="000000"/>
        </w:rPr>
      </w:pPr>
    </w:p>
    <w:p w:rsidR="00D17076" w:rsidP="00D17076" w:rsidRDefault="00D17076">
      <w:pPr>
        <w:pStyle w:val="Listeafsnit"/>
        <w:numPr>
          <w:ilvl w:val="0"/>
          <w:numId w:val="29"/>
        </w:numPr>
        <w:jc w:val="both"/>
        <w:rPr>
          <w:color w:val="000000"/>
        </w:rPr>
      </w:pPr>
      <w:r>
        <w:rPr>
          <w:color w:val="000000"/>
        </w:rPr>
        <w:t>Stor andel af sommerhuse</w:t>
      </w:r>
    </w:p>
    <w:p w:rsidR="00D17076" w:rsidP="00D17076" w:rsidRDefault="00D17076">
      <w:pPr>
        <w:pStyle w:val="Listeafsnit"/>
        <w:numPr>
          <w:ilvl w:val="0"/>
          <w:numId w:val="29"/>
        </w:numPr>
        <w:jc w:val="both"/>
        <w:rPr>
          <w:color w:val="000000"/>
        </w:rPr>
      </w:pPr>
      <w:r>
        <w:rPr>
          <w:color w:val="000000"/>
        </w:rPr>
        <w:t>Store mængder uvedkommende vand</w:t>
      </w:r>
    </w:p>
    <w:p w:rsidR="00D17076" w:rsidP="00D17076" w:rsidRDefault="00D17076">
      <w:pPr>
        <w:pStyle w:val="Listeafsnit"/>
        <w:numPr>
          <w:ilvl w:val="0"/>
          <w:numId w:val="29"/>
        </w:numPr>
        <w:jc w:val="both"/>
        <w:rPr>
          <w:color w:val="000000"/>
        </w:rPr>
      </w:pPr>
      <w:r>
        <w:rPr>
          <w:color w:val="000000"/>
        </w:rPr>
        <w:t>Multiple pumpninger af spildevandet</w:t>
      </w:r>
    </w:p>
    <w:p w:rsidR="00D17076" w:rsidP="00D17076" w:rsidRDefault="00D17076">
      <w:pPr>
        <w:pStyle w:val="Listeafsnit"/>
        <w:numPr>
          <w:ilvl w:val="0"/>
          <w:numId w:val="29"/>
        </w:numPr>
        <w:jc w:val="both"/>
        <w:rPr>
          <w:color w:val="000000"/>
        </w:rPr>
      </w:pPr>
      <w:r>
        <w:rPr>
          <w:color w:val="000000"/>
        </w:rPr>
        <w:t>Skærpede krav til rensning</w:t>
      </w:r>
    </w:p>
    <w:p w:rsidR="00D17076" w:rsidP="00D17076" w:rsidRDefault="00D17076">
      <w:pPr>
        <w:jc w:val="both"/>
        <w:rPr>
          <w:color w:val="000000"/>
        </w:rPr>
      </w:pPr>
    </w:p>
    <w:p w:rsidRPr="00FC5FAF" w:rsidR="00FC5FAF" w:rsidP="00F545B0" w:rsidRDefault="00FC5FAF">
      <w:pPr>
        <w:jc w:val="both"/>
        <w:rPr>
          <w:i/>
        </w:rPr>
      </w:pPr>
      <w:r>
        <w:rPr>
          <w:i/>
        </w:rPr>
        <w:t>Stor andel af sommerhuse</w:t>
      </w:r>
    </w:p>
    <w:p w:rsidR="00F545B0" w:rsidP="00F545B0" w:rsidRDefault="00F545B0">
      <w:pPr>
        <w:jc w:val="both"/>
      </w:pPr>
      <w:r>
        <w:t xml:space="preserve">Selskabet angiver, at der er </w:t>
      </w:r>
      <w:r w:rsidR="006F63CD">
        <w:t xml:space="preserve">en </w:t>
      </w:r>
      <w:r>
        <w:t xml:space="preserve">ekstra belastning på </w:t>
      </w:r>
      <w:r w:rsidR="006F63CD">
        <w:t xml:space="preserve">selskabets </w:t>
      </w:r>
      <w:r>
        <w:t>renseanlæg</w:t>
      </w:r>
      <w:r w:rsidR="006F63CD">
        <w:t xml:space="preserve"> </w:t>
      </w:r>
      <w:r>
        <w:t>på grund af den slammængde</w:t>
      </w:r>
      <w:r w:rsidR="006F63CD">
        <w:t>,</w:t>
      </w:r>
      <w:r>
        <w:t xml:space="preserve"> der tilføres renseanlægget fra bundfæl</w:t>
      </w:r>
      <w:r>
        <w:t>d</w:t>
      </w:r>
      <w:r>
        <w:t>ningstanke. Den ekstra belastning svarer til belastningen fra ca. 800 sommerhuse.</w:t>
      </w:r>
      <w:r w:rsidR="006F63CD">
        <w:t xml:space="preserve"> </w:t>
      </w:r>
      <w:r>
        <w:t xml:space="preserve">Kapaciteten på </w:t>
      </w:r>
      <w:r w:rsidR="006F63CD">
        <w:t>selskabets</w:t>
      </w:r>
      <w:r>
        <w:t xml:space="preserve"> renseanlæg i dette område skal derfor være</w:t>
      </w:r>
      <w:r w:rsidR="006F63CD">
        <w:t xml:space="preserve"> ekstra</w:t>
      </w:r>
      <w:r>
        <w:t xml:space="preserve"> stor for at </w:t>
      </w:r>
      <w:r w:rsidR="006F63CD">
        <w:t xml:space="preserve">kunne </w:t>
      </w:r>
      <w:r>
        <w:t>varetage sommerperioden.</w:t>
      </w:r>
    </w:p>
    <w:p w:rsidR="00F545B0" w:rsidP="00F545B0" w:rsidRDefault="00F545B0">
      <w:pPr>
        <w:jc w:val="both"/>
      </w:pPr>
    </w:p>
    <w:p w:rsidR="00F545B0" w:rsidP="00F545B0" w:rsidRDefault="00F545B0">
      <w:pPr>
        <w:jc w:val="both"/>
      </w:pPr>
      <w:r>
        <w:t xml:space="preserve">Selskabet angiver, at ledningsnettet skal være fungerende hele året rundt, men at vandforbruget i sommerhusområder generelt er lavt. Selskabet </w:t>
      </w:r>
      <w:r>
        <w:lastRenderedPageBreak/>
        <w:t>angiver, at dette gør det til en dårlig forretning at drive spildevandsfo</w:t>
      </w:r>
      <w:r>
        <w:t>r</w:t>
      </w:r>
      <w:r>
        <w:t>rentning i et sådant område.</w:t>
      </w:r>
    </w:p>
    <w:p w:rsidR="00F545B0" w:rsidP="00F545B0" w:rsidRDefault="00F545B0">
      <w:pPr>
        <w:jc w:val="both"/>
      </w:pPr>
    </w:p>
    <w:p w:rsidR="00F545B0" w:rsidP="00F545B0" w:rsidRDefault="00F545B0">
      <w:pPr>
        <w:jc w:val="both"/>
      </w:pPr>
      <w:r>
        <w:t>Forsyningssekretariatet bemærker, at alle spildevandselskaber er nødt til at have et net</w:t>
      </w:r>
      <w:r w:rsidR="006F63CD">
        <w:t>,</w:t>
      </w:r>
      <w:r>
        <w:t xml:space="preserve"> der fungerer hele året. Derfor er det også rimeligt, at fas</w:t>
      </w:r>
      <w:r>
        <w:t>t</w:t>
      </w:r>
      <w:r>
        <w:t>sættelsen af selskabets effektiviseringskrav netop tager hensyn til læn</w:t>
      </w:r>
      <w:r>
        <w:t>g</w:t>
      </w:r>
      <w:r>
        <w:t xml:space="preserve">den af ledningerne og ikke de betalinger selskabet modtager. </w:t>
      </w:r>
    </w:p>
    <w:p w:rsidR="00F545B0" w:rsidP="00F545B0" w:rsidRDefault="00F545B0">
      <w:pPr>
        <w:jc w:val="both"/>
      </w:pPr>
    </w:p>
    <w:p w:rsidR="00F545B0" w:rsidP="00F545B0" w:rsidRDefault="00F545B0">
      <w:pPr>
        <w:jc w:val="both"/>
      </w:pPr>
      <w:r>
        <w:t>Forsyningssekretariatet</w:t>
      </w:r>
      <w:r w:rsidRPr="00330E7D" w:rsidR="00E57E2A">
        <w:t xml:space="preserve"> bemær</w:t>
      </w:r>
      <w:r w:rsidR="00E57E2A">
        <w:t>ker videre</w:t>
      </w:r>
      <w:r>
        <w:t>, at der netop i beregningen af netvolumenbidraget fra rensedelen tages hensyn til kapaciteten af rens</w:t>
      </w:r>
      <w:r>
        <w:t>e</w:t>
      </w:r>
      <w:r>
        <w:t>anlægget på lige fod med den faktiske belastning. Det er derfor Fors</w:t>
      </w:r>
      <w:r>
        <w:t>y</w:t>
      </w:r>
      <w:r>
        <w:t>ningssekretariatets vurdering, at der i benchmarkingmodellen bliver taget fuldt ud hensyn til kapacitet på renseanlægget.</w:t>
      </w:r>
    </w:p>
    <w:p w:rsidR="00E57E2A" w:rsidP="00E57E2A" w:rsidRDefault="00E57E2A">
      <w:pPr>
        <w:jc w:val="both"/>
        <w:rPr>
          <w:szCs w:val="24"/>
        </w:rPr>
      </w:pPr>
    </w:p>
    <w:p w:rsidR="00E57E2A" w:rsidP="00E57E2A" w:rsidRDefault="00E57E2A">
      <w:pPr>
        <w:jc w:val="both"/>
      </w:pPr>
      <w:r>
        <w:t>Forsyningssekretariatet vurderer på baggrund af ovenstående, at en stor andel af sommerhuse ikke er et særligt forhold.</w:t>
      </w:r>
    </w:p>
    <w:p w:rsidR="00E57E2A" w:rsidP="00F545B0" w:rsidRDefault="00E57E2A">
      <w:pPr>
        <w:jc w:val="both"/>
      </w:pPr>
    </w:p>
    <w:p w:rsidR="00F545B0" w:rsidP="00F545B0" w:rsidRDefault="00E57E2A">
      <w:pPr>
        <w:jc w:val="both"/>
        <w:rPr>
          <w:i/>
        </w:rPr>
      </w:pPr>
      <w:r>
        <w:rPr>
          <w:i/>
        </w:rPr>
        <w:t>Store mængder af uvedkommende vand</w:t>
      </w:r>
    </w:p>
    <w:p w:rsidR="00E57E2A" w:rsidP="00E57E2A" w:rsidRDefault="00E57E2A">
      <w:pPr>
        <w:jc w:val="both"/>
      </w:pPr>
      <w:r>
        <w:t xml:space="preserve">Selskabet anfører i høringssvaret, at de kloakerede sommerhusområder typisk ligger lavt og ved kysten, hvilket medfører en stor mulighed for indsivning af uvedkommende vand. Selskabet angiver, at </w:t>
      </w:r>
      <w:r w:rsidR="00A561ED">
        <w:t>det har</w:t>
      </w:r>
      <w:r>
        <w:t xml:space="preserve"> 3 mill</w:t>
      </w:r>
      <w:r>
        <w:t>i</w:t>
      </w:r>
      <w:r>
        <w:t>oner kubikmeter ekstra vand</w:t>
      </w:r>
      <w:r w:rsidR="00A561ED">
        <w:t xml:space="preserve"> på grund af indsivning. Her </w:t>
      </w:r>
      <w:r>
        <w:t>anmode</w:t>
      </w:r>
      <w:r w:rsidR="00A561ED">
        <w:t>r</w:t>
      </w:r>
      <w:r>
        <w:t xml:space="preserve"> </w:t>
      </w:r>
      <w:r w:rsidR="00A561ED">
        <w:t>se</w:t>
      </w:r>
      <w:r w:rsidR="00A561ED">
        <w:t>l</w:t>
      </w:r>
      <w:r w:rsidR="00A561ED">
        <w:t xml:space="preserve">skabet </w:t>
      </w:r>
      <w:r>
        <w:t>om</w:t>
      </w:r>
      <w:r w:rsidR="00A561ED">
        <w:t xml:space="preserve"> kompensation i benchmarkingmodellen for 1 million kubi</w:t>
      </w:r>
      <w:r w:rsidR="00A561ED">
        <w:t>k</w:t>
      </w:r>
      <w:r w:rsidR="00A561ED">
        <w:t>meter ud af de 3 millioner.</w:t>
      </w:r>
      <w:r>
        <w:t xml:space="preserve"> </w:t>
      </w:r>
    </w:p>
    <w:p w:rsidRPr="00E57E2A" w:rsidR="00E57E2A" w:rsidP="00F545B0" w:rsidRDefault="00E57E2A">
      <w:pPr>
        <w:jc w:val="both"/>
      </w:pPr>
    </w:p>
    <w:p w:rsidR="00E57E2A" w:rsidP="00E57E2A" w:rsidRDefault="00E57E2A">
      <w:pPr>
        <w:jc w:val="both"/>
        <w:rPr>
          <w:szCs w:val="24"/>
        </w:rPr>
      </w:pPr>
      <w:r>
        <w:rPr>
          <w:szCs w:val="24"/>
        </w:rPr>
        <w:t>Forsyningssekretariatet</w:t>
      </w:r>
      <w:r w:rsidRPr="00A561ED" w:rsidR="00A561ED">
        <w:rPr>
          <w:szCs w:val="24"/>
        </w:rPr>
        <w:t xml:space="preserve"> </w:t>
      </w:r>
      <w:r w:rsidR="00A561ED">
        <w:rPr>
          <w:szCs w:val="24"/>
        </w:rPr>
        <w:t>bemærker</w:t>
      </w:r>
      <w:r>
        <w:rPr>
          <w:szCs w:val="24"/>
        </w:rPr>
        <w:t>, at benchmarkingmodellen tager højde for den ekstra mængde af uvedkommende vand, som selskabet håndterer i sit netværk. Dette skyldes, at benchmarkingmodellen allerede indregner selskabets forhold omkring uvedkommende vand i følgende costdrive</w:t>
      </w:r>
      <w:r>
        <w:rPr>
          <w:szCs w:val="24"/>
        </w:rPr>
        <w:t>r</w:t>
      </w:r>
      <w:r>
        <w:rPr>
          <w:szCs w:val="24"/>
        </w:rPr>
        <w:t>kategorier:</w:t>
      </w:r>
    </w:p>
    <w:p w:rsidR="00E57E2A" w:rsidP="00E57E2A" w:rsidRDefault="00E57E2A">
      <w:pPr>
        <w:pStyle w:val="Listeafsnit"/>
        <w:ind w:left="782"/>
        <w:jc w:val="both"/>
        <w:rPr>
          <w:szCs w:val="24"/>
        </w:rPr>
      </w:pPr>
    </w:p>
    <w:p w:rsidR="00E57E2A" w:rsidP="00E57E2A" w:rsidRDefault="00E57E2A">
      <w:pPr>
        <w:pStyle w:val="Listeafsnit"/>
        <w:numPr>
          <w:ilvl w:val="0"/>
          <w:numId w:val="30"/>
        </w:numPr>
        <w:jc w:val="both"/>
        <w:rPr>
          <w:szCs w:val="24"/>
        </w:rPr>
      </w:pPr>
      <w:r>
        <w:rPr>
          <w:szCs w:val="24"/>
        </w:rPr>
        <w:t>Pumper</w:t>
      </w:r>
    </w:p>
    <w:p w:rsidR="00E57E2A" w:rsidP="00E57E2A" w:rsidRDefault="00E57E2A">
      <w:pPr>
        <w:pStyle w:val="Listeafsnit"/>
        <w:numPr>
          <w:ilvl w:val="0"/>
          <w:numId w:val="30"/>
        </w:numPr>
        <w:jc w:val="both"/>
        <w:rPr>
          <w:szCs w:val="24"/>
        </w:rPr>
      </w:pPr>
      <w:r>
        <w:rPr>
          <w:szCs w:val="24"/>
        </w:rPr>
        <w:t>Åbne bassiner</w:t>
      </w:r>
    </w:p>
    <w:p w:rsidR="00E57E2A" w:rsidP="00E57E2A" w:rsidRDefault="00E57E2A">
      <w:pPr>
        <w:pStyle w:val="Listeafsnit"/>
        <w:numPr>
          <w:ilvl w:val="0"/>
          <w:numId w:val="30"/>
        </w:numPr>
        <w:jc w:val="both"/>
        <w:rPr>
          <w:szCs w:val="24"/>
        </w:rPr>
      </w:pPr>
      <w:r>
        <w:rPr>
          <w:szCs w:val="24"/>
        </w:rPr>
        <w:t>Lukkede bassiner</w:t>
      </w:r>
    </w:p>
    <w:p w:rsidR="00E57E2A" w:rsidP="00E57E2A" w:rsidRDefault="00E57E2A">
      <w:pPr>
        <w:pStyle w:val="Listeafsnit"/>
        <w:numPr>
          <w:ilvl w:val="0"/>
          <w:numId w:val="30"/>
        </w:numPr>
        <w:jc w:val="both"/>
        <w:rPr>
          <w:szCs w:val="24"/>
        </w:rPr>
      </w:pPr>
      <w:r>
        <w:rPr>
          <w:szCs w:val="24"/>
        </w:rPr>
        <w:t>Ledninger</w:t>
      </w:r>
    </w:p>
    <w:p w:rsidR="00E57E2A" w:rsidP="00E57E2A" w:rsidRDefault="00E57E2A">
      <w:pPr>
        <w:jc w:val="both"/>
        <w:rPr>
          <w:szCs w:val="24"/>
        </w:rPr>
      </w:pPr>
    </w:p>
    <w:p w:rsidR="00E57E2A" w:rsidP="00E57E2A" w:rsidRDefault="00E57E2A">
      <w:pPr>
        <w:jc w:val="both"/>
        <w:rPr>
          <w:szCs w:val="24"/>
        </w:rPr>
      </w:pPr>
      <w:r>
        <w:rPr>
          <w:szCs w:val="24"/>
        </w:rPr>
        <w:t>Ovenstående costdrivere tager således allerede hensyn til selskabets fo</w:t>
      </w:r>
      <w:r>
        <w:rPr>
          <w:szCs w:val="24"/>
        </w:rPr>
        <w:t>r</w:t>
      </w:r>
      <w:r>
        <w:rPr>
          <w:szCs w:val="24"/>
        </w:rPr>
        <w:t>hold omkring uvedkommende vand, idet alle disse costdrivere er dime</w:t>
      </w:r>
      <w:r>
        <w:rPr>
          <w:szCs w:val="24"/>
        </w:rPr>
        <w:t>n</w:t>
      </w:r>
      <w:r>
        <w:rPr>
          <w:szCs w:val="24"/>
        </w:rPr>
        <w:t>sioneret til denne mængde uvedkommende vand. Det vil sige, at selsk</w:t>
      </w:r>
      <w:r>
        <w:rPr>
          <w:szCs w:val="24"/>
        </w:rPr>
        <w:t>a</w:t>
      </w:r>
      <w:r>
        <w:rPr>
          <w:szCs w:val="24"/>
        </w:rPr>
        <w:t>bets costdrivere er større i forhold til, hvad de ville være, hvis selskabet ikke havde uvedkommende vand i sit netværk. Dette betyder, at selsk</w:t>
      </w:r>
      <w:r>
        <w:rPr>
          <w:szCs w:val="24"/>
        </w:rPr>
        <w:t>a</w:t>
      </w:r>
      <w:r>
        <w:rPr>
          <w:szCs w:val="24"/>
        </w:rPr>
        <w:t>bet opnår et tilsvarende større netvolumenbidrag fra hver af disse cos</w:t>
      </w:r>
      <w:r>
        <w:rPr>
          <w:szCs w:val="24"/>
        </w:rPr>
        <w:t>t</w:t>
      </w:r>
      <w:r>
        <w:rPr>
          <w:szCs w:val="24"/>
        </w:rPr>
        <w:t>drivere som følge af mængden af uvedkommende vand. Benchmarkin</w:t>
      </w:r>
      <w:r>
        <w:rPr>
          <w:szCs w:val="24"/>
        </w:rPr>
        <w:t>g</w:t>
      </w:r>
      <w:r>
        <w:rPr>
          <w:szCs w:val="24"/>
        </w:rPr>
        <w:t>modellen tager således højde for, at selskabet håndterer en større mæn</w:t>
      </w:r>
      <w:r>
        <w:rPr>
          <w:szCs w:val="24"/>
        </w:rPr>
        <w:t>g</w:t>
      </w:r>
      <w:r>
        <w:rPr>
          <w:szCs w:val="24"/>
        </w:rPr>
        <w:t>de uvedkommende vand.</w:t>
      </w:r>
      <w:r w:rsidRPr="0047671D">
        <w:rPr>
          <w:szCs w:val="24"/>
        </w:rPr>
        <w:t xml:space="preserve"> </w:t>
      </w:r>
    </w:p>
    <w:p w:rsidR="00A561ED" w:rsidP="00E57E2A" w:rsidRDefault="00A561ED">
      <w:pPr>
        <w:jc w:val="both"/>
        <w:rPr>
          <w:szCs w:val="24"/>
        </w:rPr>
      </w:pPr>
    </w:p>
    <w:p w:rsidR="00A561ED" w:rsidP="00E57E2A" w:rsidRDefault="00A561ED">
      <w:pPr>
        <w:jc w:val="both"/>
        <w:rPr>
          <w:szCs w:val="24"/>
        </w:rPr>
      </w:pPr>
      <w:r>
        <w:rPr>
          <w:szCs w:val="24"/>
        </w:rPr>
        <w:t>Forsyningssekretariatet vurderer på baggrund af ovenstående, at store mængder af uvedkommende vand ikke er et særligt forhold.</w:t>
      </w:r>
    </w:p>
    <w:p w:rsidR="00A561ED" w:rsidP="00E57E2A" w:rsidRDefault="00A561ED">
      <w:pPr>
        <w:jc w:val="both"/>
        <w:rPr>
          <w:i/>
          <w:szCs w:val="24"/>
        </w:rPr>
      </w:pPr>
    </w:p>
    <w:p w:rsidRPr="0080104E" w:rsidR="00A561ED" w:rsidP="00A561ED" w:rsidRDefault="00A561ED">
      <w:pPr>
        <w:jc w:val="both"/>
        <w:rPr>
          <w:i/>
        </w:rPr>
      </w:pPr>
      <w:r w:rsidRPr="0080104E">
        <w:rPr>
          <w:i/>
        </w:rPr>
        <w:lastRenderedPageBreak/>
        <w:t>Multiple pumpninger</w:t>
      </w:r>
    </w:p>
    <w:p w:rsidR="00A561ED" w:rsidP="00A561ED" w:rsidRDefault="00A561ED">
      <w:pPr>
        <w:jc w:val="both"/>
      </w:pPr>
      <w:r>
        <w:t>Selskabet angiver, at de</w:t>
      </w:r>
      <w:r w:rsidR="006F63CD">
        <w:t>t</w:t>
      </w:r>
      <w:r>
        <w:t xml:space="preserve"> i flere tilfælde er nødt til at foretage multiple pumpninger af spildevandet inden det når frem til renseanlægget. Se</w:t>
      </w:r>
      <w:r>
        <w:t>l</w:t>
      </w:r>
      <w:r>
        <w:t>skabet gør endvidere opmærksom på, at pumper kan arbejde meget fo</w:t>
      </w:r>
      <w:r>
        <w:t>r</w:t>
      </w:r>
      <w:r>
        <w:t xml:space="preserve">skelligt afhængig af situationen, og at det særlige forhold består i, at transporten i </w:t>
      </w:r>
      <w:r w:rsidR="00AD4A58">
        <w:t xml:space="preserve">selskabets vigtige hovedledninger </w:t>
      </w:r>
      <w:r>
        <w:t>foregår ved pumpning o</w:t>
      </w:r>
      <w:r>
        <w:t>f</w:t>
      </w:r>
      <w:r>
        <w:t>te af flere omgange fremfor som normalt ved gratis gravitation.</w:t>
      </w:r>
    </w:p>
    <w:p w:rsidR="00A561ED" w:rsidP="00A561ED" w:rsidRDefault="00A561ED">
      <w:pPr>
        <w:jc w:val="both"/>
      </w:pPr>
    </w:p>
    <w:p w:rsidR="00A561ED" w:rsidP="00A561ED" w:rsidRDefault="00A561ED">
      <w:pPr>
        <w:jc w:val="both"/>
      </w:pPr>
      <w:r>
        <w:t>Det er Forsyningssekretariatets forståelse, at der med multiple pumpni</w:t>
      </w:r>
      <w:r>
        <w:t>n</w:t>
      </w:r>
      <w:r>
        <w:t>ger menes, at spildevandet først bliver pumpet igennem en pumpestation, derefter gennem en anden pumpestation, osv. Dvs. at det er forskellige pumpestationer, der står for hver af de enkeltstående pumpninger, der finder sted i de multiple pumpninger. Dette har den betydning, at selsk</w:t>
      </w:r>
      <w:r>
        <w:t>a</w:t>
      </w:r>
      <w:r>
        <w:t xml:space="preserve">bet får et netvolumenbidrag for hver af </w:t>
      </w:r>
      <w:r w:rsidR="00AD4A58">
        <w:t>dets</w:t>
      </w:r>
      <w:r>
        <w:t xml:space="preserve"> pumper og derved bliver kompenseret fuldt ud for pumper</w:t>
      </w:r>
      <w:r w:rsidR="00AD4A58">
        <w:t>ne</w:t>
      </w:r>
      <w:r>
        <w:t xml:space="preserve"> i </w:t>
      </w:r>
      <w:r w:rsidR="00AD4A58">
        <w:t>selskabets</w:t>
      </w:r>
      <w:r>
        <w:t xml:space="preserve"> netvolumenmål.</w:t>
      </w:r>
    </w:p>
    <w:p w:rsidR="00A561ED" w:rsidP="00A561ED" w:rsidRDefault="00A561ED">
      <w:pPr>
        <w:jc w:val="both"/>
      </w:pPr>
    </w:p>
    <w:p w:rsidR="00A561ED" w:rsidP="00A561ED" w:rsidRDefault="00A561ED">
      <w:pPr>
        <w:jc w:val="both"/>
      </w:pPr>
      <w:r>
        <w:t>Det er Forsyningssekretariatets vurdering, at selskabet bliver kompens</w:t>
      </w:r>
      <w:r>
        <w:t>e</w:t>
      </w:r>
      <w:r>
        <w:t xml:space="preserve">ret fuldt ud for dette forhold i </w:t>
      </w:r>
      <w:r w:rsidR="00AD4A58">
        <w:t>det</w:t>
      </w:r>
      <w:r>
        <w:t xml:space="preserve"> individuelle netvolumenmål. Fors</w:t>
      </w:r>
      <w:r>
        <w:t>y</w:t>
      </w:r>
      <w:r>
        <w:t>ningssekretariatet har derfor ikke ændret i selskabets netvolumenmål på baggrund af selskabets angivelser omkring multiple pumpninger.</w:t>
      </w:r>
    </w:p>
    <w:p w:rsidR="00A561ED" w:rsidP="00A561ED" w:rsidRDefault="00A561ED">
      <w:pPr>
        <w:jc w:val="both"/>
      </w:pPr>
    </w:p>
    <w:p w:rsidR="00A561ED" w:rsidP="00A561ED" w:rsidRDefault="00A561ED">
      <w:pPr>
        <w:jc w:val="both"/>
      </w:pPr>
      <w:r>
        <w:t>På baggrund af ovenstående er det Forsyningssekretariatets vurdering, at selskabets multiple pumpninger ikke er et særligt forhold.</w:t>
      </w:r>
    </w:p>
    <w:p w:rsidR="00A561ED" w:rsidP="00E57E2A" w:rsidRDefault="00A561ED">
      <w:pPr>
        <w:jc w:val="both"/>
        <w:rPr>
          <w:szCs w:val="24"/>
        </w:rPr>
      </w:pPr>
    </w:p>
    <w:p w:rsidR="00A561ED" w:rsidP="00E57E2A" w:rsidRDefault="00A561ED">
      <w:pPr>
        <w:jc w:val="both"/>
        <w:rPr>
          <w:i/>
          <w:szCs w:val="24"/>
        </w:rPr>
      </w:pPr>
      <w:r>
        <w:rPr>
          <w:i/>
          <w:szCs w:val="24"/>
        </w:rPr>
        <w:t xml:space="preserve">Skærpede udledningskrav </w:t>
      </w:r>
    </w:p>
    <w:p w:rsidR="00940A70" w:rsidP="00E57E2A" w:rsidRDefault="00940A70">
      <w:pPr>
        <w:jc w:val="both"/>
        <w:rPr>
          <w:szCs w:val="24"/>
        </w:rPr>
      </w:pPr>
      <w:r>
        <w:rPr>
          <w:szCs w:val="24"/>
        </w:rPr>
        <w:t>Selskabet angiver i høringssvaret, at det er pålagt skærpede udledning</w:t>
      </w:r>
      <w:r>
        <w:rPr>
          <w:szCs w:val="24"/>
        </w:rPr>
        <w:t>s</w:t>
      </w:r>
      <w:r>
        <w:rPr>
          <w:szCs w:val="24"/>
        </w:rPr>
        <w:t xml:space="preserve">krav fra Frederiksborg Amt, hvilket medfører højere omkostninger til rensning af spildevand. </w:t>
      </w:r>
    </w:p>
    <w:p w:rsidR="0057149A" w:rsidP="00E57E2A" w:rsidRDefault="0057149A">
      <w:pPr>
        <w:jc w:val="both"/>
        <w:rPr>
          <w:szCs w:val="24"/>
        </w:rPr>
      </w:pPr>
    </w:p>
    <w:p w:rsidR="0057149A" w:rsidP="0057149A" w:rsidRDefault="0057149A">
      <w:pPr>
        <w:jc w:val="both"/>
        <w:rPr>
          <w:szCs w:val="24"/>
        </w:rPr>
      </w:pPr>
      <w:r>
        <w:rPr>
          <w:szCs w:val="24"/>
        </w:rPr>
        <w:t>Forsyningssekretariatet bemærker, at selskabet er blevet pålagt skærpede udledningskrav af Frederiksborg Amt. Selskabet er dermed underlagt en rammebetingelse om ekstra rensning af spildevandet.</w:t>
      </w:r>
    </w:p>
    <w:p w:rsidR="00940A70" w:rsidP="00E57E2A" w:rsidRDefault="00940A70">
      <w:pPr>
        <w:jc w:val="both"/>
        <w:rPr>
          <w:szCs w:val="24"/>
        </w:rPr>
      </w:pPr>
    </w:p>
    <w:p w:rsidR="00163795" w:rsidP="00E57E2A" w:rsidRDefault="00940A70">
      <w:pPr>
        <w:jc w:val="both"/>
        <w:rPr>
          <w:szCs w:val="24"/>
        </w:rPr>
      </w:pPr>
      <w:r>
        <w:rPr>
          <w:szCs w:val="24"/>
        </w:rPr>
        <w:t xml:space="preserve">Selskabet har opgjort meromkostningerne </w:t>
      </w:r>
      <w:r w:rsidRPr="0057149A">
        <w:rPr>
          <w:szCs w:val="24"/>
        </w:rPr>
        <w:t>til 111.708 kr.</w:t>
      </w:r>
    </w:p>
    <w:p w:rsidR="00163795" w:rsidP="00E57E2A" w:rsidRDefault="00163795">
      <w:pPr>
        <w:jc w:val="both"/>
        <w:rPr>
          <w:szCs w:val="24"/>
        </w:rPr>
      </w:pPr>
    </w:p>
    <w:p w:rsidR="00163795" w:rsidP="00E57E2A" w:rsidRDefault="00163795">
      <w:pPr>
        <w:jc w:val="both"/>
        <w:rPr>
          <w:szCs w:val="24"/>
        </w:rPr>
      </w:pPr>
      <w:r>
        <w:rPr>
          <w:szCs w:val="24"/>
        </w:rPr>
        <w:t>Forsyningssekretariatet bemærker</w:t>
      </w:r>
      <w:r w:rsidR="0057149A">
        <w:rPr>
          <w:szCs w:val="24"/>
        </w:rPr>
        <w:t xml:space="preserve"> hertil</w:t>
      </w:r>
      <w:r>
        <w:rPr>
          <w:szCs w:val="24"/>
        </w:rPr>
        <w:t>, at selskabet har medtaget o</w:t>
      </w:r>
      <w:r>
        <w:rPr>
          <w:szCs w:val="24"/>
        </w:rPr>
        <w:t>m</w:t>
      </w:r>
      <w:r>
        <w:rPr>
          <w:szCs w:val="24"/>
        </w:rPr>
        <w:t xml:space="preserve">kostninger til ekstra behandling af slam i ovenstående meromkostninger. </w:t>
      </w:r>
      <w:r w:rsidR="0057149A">
        <w:rPr>
          <w:szCs w:val="24"/>
        </w:rPr>
        <w:t xml:space="preserve">Efter Forsyningssekretariatets vurdering, skal slamomkostninger ikke medregnes under meromkostningerne, da benchmarkingmodellen tager højde for ekstra slambehandling i costdriveren </w:t>
      </w:r>
      <w:r w:rsidR="0057149A">
        <w:rPr>
          <w:i/>
          <w:szCs w:val="24"/>
        </w:rPr>
        <w:t xml:space="preserve">Slambehandling. </w:t>
      </w:r>
      <w:r w:rsidR="0057149A">
        <w:rPr>
          <w:szCs w:val="24"/>
        </w:rPr>
        <w:t>Fors</w:t>
      </w:r>
      <w:r w:rsidR="0057149A">
        <w:rPr>
          <w:szCs w:val="24"/>
        </w:rPr>
        <w:t>y</w:t>
      </w:r>
      <w:r w:rsidR="0057149A">
        <w:rPr>
          <w:szCs w:val="24"/>
        </w:rPr>
        <w:t>ningssekretariatet har på denne baggrund fratrukket 61.423 kr. fra me</w:t>
      </w:r>
      <w:r w:rsidR="0057149A">
        <w:rPr>
          <w:szCs w:val="24"/>
        </w:rPr>
        <w:t>r</w:t>
      </w:r>
      <w:r w:rsidR="0057149A">
        <w:rPr>
          <w:szCs w:val="24"/>
        </w:rPr>
        <w:t xml:space="preserve">omkostningerne. </w:t>
      </w:r>
    </w:p>
    <w:p w:rsidR="0057149A" w:rsidP="00E57E2A" w:rsidRDefault="0057149A">
      <w:pPr>
        <w:jc w:val="both"/>
        <w:rPr>
          <w:szCs w:val="24"/>
        </w:rPr>
      </w:pPr>
    </w:p>
    <w:p w:rsidRPr="0057149A" w:rsidR="0057149A" w:rsidP="00E57E2A" w:rsidRDefault="0057149A">
      <w:pPr>
        <w:jc w:val="both"/>
        <w:rPr>
          <w:szCs w:val="24"/>
        </w:rPr>
      </w:pPr>
      <w:r>
        <w:rPr>
          <w:szCs w:val="24"/>
        </w:rPr>
        <w:t>Meromkostningerne kan derved opgøres til 50.285 kr.</w:t>
      </w:r>
    </w:p>
    <w:p w:rsidR="00163795" w:rsidP="00E57E2A" w:rsidRDefault="00163795">
      <w:pPr>
        <w:jc w:val="both"/>
        <w:rPr>
          <w:szCs w:val="24"/>
        </w:rPr>
      </w:pPr>
    </w:p>
    <w:p w:rsidRPr="00A561ED" w:rsidR="00A561ED" w:rsidP="00E57E2A" w:rsidRDefault="00163795">
      <w:pPr>
        <w:jc w:val="both"/>
        <w:rPr>
          <w:szCs w:val="24"/>
        </w:rPr>
      </w:pPr>
      <w:r>
        <w:rPr>
          <w:szCs w:val="24"/>
        </w:rPr>
        <w:t>Forsyningssekretariatet vurderer på baggrund af ovenstående, at skærp</w:t>
      </w:r>
      <w:r>
        <w:rPr>
          <w:szCs w:val="24"/>
        </w:rPr>
        <w:t>e</w:t>
      </w:r>
      <w:r>
        <w:rPr>
          <w:szCs w:val="24"/>
        </w:rPr>
        <w:t xml:space="preserve">de udledningskrav er et særligt forhold. Selskabet har derfor fået forøget netvolumenmålet med </w:t>
      </w:r>
      <w:r w:rsidR="0057149A">
        <w:rPr>
          <w:szCs w:val="24"/>
        </w:rPr>
        <w:t>50</w:t>
      </w:r>
      <w:r>
        <w:rPr>
          <w:szCs w:val="24"/>
        </w:rPr>
        <w:t>.</w:t>
      </w:r>
      <w:r w:rsidR="0057149A">
        <w:rPr>
          <w:szCs w:val="24"/>
        </w:rPr>
        <w:t>285</w:t>
      </w:r>
      <w:r>
        <w:rPr>
          <w:szCs w:val="24"/>
        </w:rPr>
        <w:t xml:space="preserve"> kr. </w:t>
      </w:r>
      <w:r w:rsidR="00940A70">
        <w:rPr>
          <w:szCs w:val="24"/>
        </w:rPr>
        <w:t xml:space="preserve">  </w:t>
      </w:r>
    </w:p>
    <w:p w:rsidR="00AE1521" w:rsidP="00AE1521" w:rsidRDefault="00AE1521">
      <w:pPr>
        <w:jc w:val="both"/>
      </w:pPr>
    </w:p>
    <w:p w:rsidRPr="00E0777F" w:rsidR="00A4143F" w:rsidP="00A4143F" w:rsidRDefault="00A4143F">
      <w:pPr>
        <w:jc w:val="both"/>
        <w:rPr>
          <w:rStyle w:val="Fremhv"/>
          <w:szCs w:val="24"/>
        </w:rPr>
      </w:pPr>
      <w:bookmarkStart w:name="_Toc366226934" w:id="9"/>
      <w:r w:rsidRPr="00E0777F">
        <w:rPr>
          <w:rStyle w:val="Fremhv"/>
          <w:szCs w:val="24"/>
        </w:rPr>
        <w:lastRenderedPageBreak/>
        <w:t>Biogasanlæg</w:t>
      </w:r>
      <w:bookmarkEnd w:id="9"/>
    </w:p>
    <w:p w:rsidRPr="00E0777F" w:rsidR="00A4143F" w:rsidP="00A4143F" w:rsidRDefault="00A4143F">
      <w:pPr>
        <w:jc w:val="both"/>
        <w:rPr>
          <w:szCs w:val="24"/>
        </w:rPr>
      </w:pPr>
      <w:r w:rsidRPr="00E0777F">
        <w:rPr>
          <w:szCs w:val="24"/>
        </w:rPr>
        <w:t>Særligt vedrørende biogasanlæg har Forsyningssekretariatet i mails af 6. og 20. august 2013 gjort spildevandsselskaberne opmærksom på, at se</w:t>
      </w:r>
      <w:r w:rsidRPr="00E0777F">
        <w:rPr>
          <w:szCs w:val="24"/>
        </w:rPr>
        <w:t>l</w:t>
      </w:r>
      <w:r w:rsidRPr="00E0777F">
        <w:rPr>
          <w:szCs w:val="24"/>
        </w:rPr>
        <w:t>skaber med biogasanlæg muligvis kan have et særligt forhold i forbinde</w:t>
      </w:r>
      <w:r w:rsidRPr="00E0777F">
        <w:rPr>
          <w:szCs w:val="24"/>
        </w:rPr>
        <w:t>l</w:t>
      </w:r>
      <w:r w:rsidRPr="00E0777F">
        <w:rPr>
          <w:szCs w:val="24"/>
        </w:rPr>
        <w:t>se med deres slambehandling. Det skyldes, at Forsyningssekretariatet er blevet opmærksomt på, at selskaber med biogasanlæg eller andre anlæg, som reducerer tørstofmængden i løbet af slambehandlingen, kan have fordyrende forhold, der ikke tages tilstrækkelig højde for i benchma</w:t>
      </w:r>
      <w:r w:rsidRPr="00E0777F">
        <w:rPr>
          <w:szCs w:val="24"/>
        </w:rPr>
        <w:t>r</w:t>
      </w:r>
      <w:r w:rsidRPr="00E0777F">
        <w:rPr>
          <w:szCs w:val="24"/>
        </w:rPr>
        <w:t xml:space="preserve">kingmodellen. </w:t>
      </w:r>
    </w:p>
    <w:p w:rsidRPr="00E0777F" w:rsidR="00A4143F" w:rsidP="00A4143F" w:rsidRDefault="00A4143F">
      <w:pPr>
        <w:jc w:val="both"/>
        <w:rPr>
          <w:szCs w:val="24"/>
        </w:rPr>
      </w:pPr>
    </w:p>
    <w:p w:rsidRPr="00E0777F" w:rsidR="00A4143F" w:rsidP="00A4143F" w:rsidRDefault="00A4143F">
      <w:pPr>
        <w:jc w:val="both"/>
        <w:rPr>
          <w:szCs w:val="24"/>
        </w:rPr>
      </w:pPr>
      <w:r w:rsidRPr="00E0777F">
        <w:rPr>
          <w:szCs w:val="24"/>
        </w:rPr>
        <w:t>For at tage hensyn til eventuelt fordyrende forhold for disse selskaber, har Forsyningssekretariatet vurderet, at der kan gives et tillæg til netv</w:t>
      </w:r>
      <w:r w:rsidRPr="00E0777F">
        <w:rPr>
          <w:szCs w:val="24"/>
        </w:rPr>
        <w:t>o</w:t>
      </w:r>
      <w:r w:rsidRPr="00E0777F">
        <w:rPr>
          <w:szCs w:val="24"/>
        </w:rPr>
        <w:t>lumenmålet svarende til den meromkostning, som biogasanlæg mv. me</w:t>
      </w:r>
      <w:r w:rsidRPr="00E0777F">
        <w:rPr>
          <w:szCs w:val="24"/>
        </w:rPr>
        <w:t>d</w:t>
      </w:r>
      <w:r w:rsidRPr="00E0777F">
        <w:rPr>
          <w:szCs w:val="24"/>
        </w:rPr>
        <w:t xml:space="preserve">fører. </w:t>
      </w:r>
    </w:p>
    <w:p w:rsidRPr="00E0777F" w:rsidR="00A4143F" w:rsidP="00A4143F" w:rsidRDefault="00A4143F">
      <w:pPr>
        <w:jc w:val="both"/>
        <w:rPr>
          <w:szCs w:val="24"/>
        </w:rPr>
      </w:pPr>
    </w:p>
    <w:p w:rsidR="00A4143F" w:rsidP="00A4143F" w:rsidRDefault="00A4143F">
      <w:pPr>
        <w:jc w:val="both"/>
      </w:pPr>
      <w:r w:rsidRPr="00E0777F">
        <w:rPr>
          <w:szCs w:val="24"/>
        </w:rPr>
        <w:t>Da selskabet ikke er vendt tilbage på Forsyningssekretariatets henve</w:t>
      </w:r>
      <w:r w:rsidRPr="00E0777F">
        <w:rPr>
          <w:szCs w:val="24"/>
        </w:rPr>
        <w:t>n</w:t>
      </w:r>
      <w:r w:rsidRPr="00E0777F">
        <w:rPr>
          <w:szCs w:val="24"/>
        </w:rPr>
        <w:t>delser og da dette kan skyldes, at selskabet ikke benytter biogasanlæg, har Forsyningssekretariatet ikke foretaget sig yderligere.</w:t>
      </w:r>
    </w:p>
    <w:p w:rsidR="00A4143F" w:rsidP="00AE1521" w:rsidRDefault="00A4143F">
      <w:pPr>
        <w:jc w:val="both"/>
      </w:pPr>
    </w:p>
    <w:p w:rsidRPr="00E92116" w:rsidR="00AE1521" w:rsidP="00AE1521" w:rsidRDefault="00AE1521">
      <w:pPr>
        <w:jc w:val="both"/>
        <w:rPr>
          <w:u w:val="single"/>
        </w:rPr>
      </w:pPr>
      <w:r>
        <w:rPr>
          <w:u w:val="single"/>
        </w:rPr>
        <w:t>Sammensætning af costdrivere</w:t>
      </w:r>
    </w:p>
    <w:p w:rsidR="00AE1521" w:rsidP="00AE1521" w:rsidRDefault="00AE1521">
      <w:pPr>
        <w:jc w:val="both"/>
      </w:pPr>
      <w:r>
        <w:t>Forsyningssekretariatet har gennemført en analyse af betydningen af se</w:t>
      </w:r>
      <w:r>
        <w:t>l</w:t>
      </w:r>
      <w:r>
        <w:t>skabernes sammensætning af costdrivere for at kunne tage højde for en eventuel skæv allokering af omkostningerne.</w:t>
      </w:r>
    </w:p>
    <w:p w:rsidR="00AE1521" w:rsidP="00AE1521" w:rsidRDefault="00AE1521">
      <w:pPr>
        <w:jc w:val="both"/>
      </w:pPr>
    </w:p>
    <w:p w:rsidR="00AE1521" w:rsidP="00AE1521" w:rsidRDefault="00AE1521">
      <w:pPr>
        <w:jc w:val="both"/>
      </w:pPr>
      <w:r>
        <w:t>Analysen omfatter en vurdering af, om selskabet har en forholdsvis stor andel af netvolumenmålet fra enkelte costdrivere. Yderligere indeholder analysen en undersøgelse af sammenhængen imellem effektiviseringsp</w:t>
      </w:r>
      <w:r>
        <w:t>o</w:t>
      </w:r>
      <w:r>
        <w:t xml:space="preserve">tentialet og størrelsen af netvolumenbidrag fra enkelte costdrivere. </w:t>
      </w:r>
    </w:p>
    <w:p w:rsidR="00AE1521" w:rsidP="00AE1521" w:rsidRDefault="00AE1521">
      <w:pPr>
        <w:jc w:val="both"/>
      </w:pPr>
    </w:p>
    <w:p w:rsidR="00AE1521" w:rsidP="00AE1521" w:rsidRDefault="00AE1521">
      <w:pPr>
        <w:jc w:val="both"/>
      </w:pPr>
      <w:r>
        <w:t>Analysen peger på, at selskaber, som har en samlet stor afvigelse på costdriverne</w:t>
      </w:r>
      <w:r w:rsidRPr="00A77EE2">
        <w:t xml:space="preserve">: </w:t>
      </w:r>
      <w:r w:rsidR="00B63E0C">
        <w:rPr>
          <w:i/>
        </w:rPr>
        <w:t>Ledninger, Kunder og Regnvandsbassiner</w:t>
      </w:r>
      <w:r>
        <w:t xml:space="preserve">, har en tendens til at have et højere effektiviseringspotentiale. Forsyningssekretariatet vil ikke afvise, at dette kan skyldes en skæv fordeling af omkostningerne. Forsyningssekretariatet har derfor reduceret effektiviseringspotentialet for de pågældende selskaber, jf. papiret </w:t>
      </w:r>
      <w:r>
        <w:rPr>
          <w:i/>
        </w:rPr>
        <w:t>Resultatorienteret benchmarking af vand- og spildevandsforsyningerne – 2014 (modellen)</w:t>
      </w:r>
      <w:r>
        <w:t>.</w:t>
      </w:r>
    </w:p>
    <w:p w:rsidR="00AE1521" w:rsidP="00AE1521" w:rsidRDefault="00AE1521">
      <w:pPr>
        <w:jc w:val="both"/>
      </w:pPr>
    </w:p>
    <w:p w:rsidR="00AE1521" w:rsidP="00AE1521" w:rsidRDefault="00AE1521">
      <w:pPr>
        <w:jc w:val="both"/>
      </w:pPr>
      <w:r>
        <w:t>S</w:t>
      </w:r>
      <w:r w:rsidRPr="00A77EE2">
        <w:t xml:space="preserve">elskabet </w:t>
      </w:r>
      <w:r>
        <w:t xml:space="preserve">kan </w:t>
      </w:r>
      <w:r w:rsidRPr="00A77EE2">
        <w:t xml:space="preserve">se en oversigt over </w:t>
      </w:r>
      <w:r>
        <w:t xml:space="preserve">selskabernes </w:t>
      </w:r>
      <w:r w:rsidRPr="00A77EE2">
        <w:t>sammensætning af cos</w:t>
      </w:r>
      <w:r w:rsidRPr="00A77EE2">
        <w:t>t</w:t>
      </w:r>
      <w:r w:rsidRPr="00A77EE2">
        <w:t>drivere</w:t>
      </w:r>
      <w:r>
        <w:t xml:space="preserve"> </w:t>
      </w:r>
      <w:r w:rsidRPr="00A77EE2">
        <w:t xml:space="preserve">i bilag </w:t>
      </w:r>
      <w:r w:rsidR="00B63E0C">
        <w:t>3</w:t>
      </w:r>
      <w:r w:rsidRPr="00A77EE2">
        <w:t xml:space="preserve"> til </w:t>
      </w:r>
      <w:r>
        <w:t>modellen</w:t>
      </w:r>
      <w:r w:rsidRPr="00095C60">
        <w:t>.</w:t>
      </w:r>
    </w:p>
    <w:p w:rsidR="00AE1521" w:rsidP="00AE1521" w:rsidRDefault="00AE1521">
      <w:pPr>
        <w:jc w:val="both"/>
        <w:rPr>
          <w:highlight w:val="green"/>
        </w:rPr>
      </w:pPr>
    </w:p>
    <w:p w:rsidRPr="007A79B1" w:rsidR="00AE1521" w:rsidP="00AE1521" w:rsidRDefault="00AE1521">
      <w:pPr>
        <w:jc w:val="both"/>
        <w:rPr>
          <w:i/>
        </w:rPr>
      </w:pPr>
      <w:r w:rsidRPr="007A79B1">
        <w:rPr>
          <w:i/>
        </w:rPr>
        <w:t>Ingen udsving på costdriverne</w:t>
      </w:r>
    </w:p>
    <w:p w:rsidRPr="00AD4A58" w:rsidR="00633885" w:rsidP="00AE1521" w:rsidRDefault="00AE1521">
      <w:pPr>
        <w:jc w:val="both"/>
      </w:pPr>
      <w:r>
        <w:t>Selskabets sammensætning af costdrivere giver ikke anledning til en v</w:t>
      </w:r>
      <w:r>
        <w:t>æ</w:t>
      </w:r>
      <w:r>
        <w:t xml:space="preserve">sentlig afvigelse i ovennævnte costdrivere, jf. </w:t>
      </w:r>
      <w:r w:rsidRPr="001B1F55">
        <w:t xml:space="preserve">bilag </w:t>
      </w:r>
      <w:r w:rsidR="00B63E0C">
        <w:t>3</w:t>
      </w:r>
      <w:r w:rsidRPr="001B1F55">
        <w:t>.</w:t>
      </w:r>
      <w:r w:rsidRPr="00ED540E">
        <w:t xml:space="preserve"> </w:t>
      </w:r>
      <w:r>
        <w:t>Der er derfor ikke grundlag for en justering af selskabets individuelle effektiviseringspote</w:t>
      </w:r>
      <w:r>
        <w:t>n</w:t>
      </w:r>
      <w:r>
        <w:t>tiale på baggrund af selskabets sammensætning af costdrivere.</w:t>
      </w:r>
    </w:p>
    <w:p w:rsidR="00AE1521" w:rsidP="00AE1521" w:rsidRDefault="00AE1521">
      <w:pPr>
        <w:jc w:val="both"/>
      </w:pPr>
    </w:p>
    <w:p w:rsidRPr="0025675A" w:rsidR="00AE1521" w:rsidP="00AE1521" w:rsidRDefault="00AE1521">
      <w:pPr>
        <w:jc w:val="both"/>
        <w:rPr>
          <w:color w:val="000000"/>
          <w:u w:val="single"/>
        </w:rPr>
      </w:pPr>
      <w:r w:rsidRPr="006078A6">
        <w:rPr>
          <w:u w:val="single"/>
        </w:rPr>
        <w:t>Samlet vurdering</w:t>
      </w:r>
      <w:r>
        <w:rPr>
          <w:u w:val="single"/>
        </w:rPr>
        <w:t xml:space="preserve"> af i</w:t>
      </w:r>
      <w:r>
        <w:rPr>
          <w:color w:val="000000"/>
          <w:u w:val="single"/>
        </w:rPr>
        <w:t xml:space="preserve">ndividuelt </w:t>
      </w:r>
      <w:r w:rsidRPr="0025675A">
        <w:rPr>
          <w:color w:val="000000"/>
          <w:u w:val="single"/>
        </w:rPr>
        <w:t>effektiviseringskrav</w:t>
      </w:r>
    </w:p>
    <w:p w:rsidR="00AE1521" w:rsidP="00AE1521" w:rsidRDefault="00AE1521">
      <w:pPr>
        <w:jc w:val="both"/>
      </w:pPr>
      <w:r w:rsidRPr="00371113">
        <w:t>Da selskabet ikke har angivet særlige forhold</w:t>
      </w:r>
      <w:r>
        <w:t>,</w:t>
      </w:r>
      <w:r w:rsidRPr="00371113">
        <w:t xml:space="preserve"> er der ikke grundlag for at foretage en yderligere individuel vurdering heraf. </w:t>
      </w:r>
      <w:r>
        <w:t xml:space="preserve"> S</w:t>
      </w:r>
      <w:r w:rsidRPr="00371113">
        <w:t>elskabets s</w:t>
      </w:r>
      <w:r>
        <w:t>amme</w:t>
      </w:r>
      <w:r>
        <w:t>n</w:t>
      </w:r>
      <w:r>
        <w:lastRenderedPageBreak/>
        <w:t xml:space="preserve">sætning af costdrivere </w:t>
      </w:r>
      <w:r w:rsidRPr="00371113">
        <w:t>har</w:t>
      </w:r>
      <w:r>
        <w:t xml:space="preserve"> ikke</w:t>
      </w:r>
      <w:r w:rsidRPr="00371113">
        <w:t xml:space="preserve"> givet anledning til en ændring af selsk</w:t>
      </w:r>
      <w:r w:rsidRPr="00371113">
        <w:t>a</w:t>
      </w:r>
      <w:r w:rsidRPr="00371113">
        <w:t>bets individu</w:t>
      </w:r>
      <w:r>
        <w:t>elle effektiviseringspotentiale. Selskabets</w:t>
      </w:r>
      <w:r w:rsidRPr="00371113">
        <w:t xml:space="preserve"> effektivisering</w:t>
      </w:r>
      <w:r w:rsidRPr="00371113">
        <w:t>s</w:t>
      </w:r>
      <w:r>
        <w:t>krav fastsættes derfor</w:t>
      </w:r>
      <w:r w:rsidRPr="00371113">
        <w:t xml:space="preserve"> på baggrund af resultaterne af benchmarkingm</w:t>
      </w:r>
      <w:r w:rsidRPr="00371113">
        <w:t>o</w:t>
      </w:r>
      <w:r w:rsidRPr="00371113">
        <w:t>dellen.</w:t>
      </w:r>
    </w:p>
    <w:p w:rsidR="00AE1521" w:rsidP="00AE1521" w:rsidRDefault="00AE1521">
      <w:pPr>
        <w:jc w:val="both"/>
      </w:pPr>
    </w:p>
    <w:p w:rsidRPr="00AB40EC" w:rsidR="00AE1521" w:rsidP="00AE1521" w:rsidRDefault="00AE1521">
      <w:pPr>
        <w:jc w:val="both"/>
        <w:rPr>
          <w:szCs w:val="24"/>
        </w:rPr>
      </w:pPr>
      <w:r w:rsidRPr="007A4B24">
        <w:rPr>
          <w:color w:val="000000"/>
        </w:rPr>
        <w:t>Det er i benchmarking</w:t>
      </w:r>
      <w:r>
        <w:rPr>
          <w:color w:val="000000"/>
        </w:rPr>
        <w:t>en identificeret, at selskabet har et effektivis</w:t>
      </w:r>
      <w:r>
        <w:rPr>
          <w:color w:val="000000"/>
        </w:rPr>
        <w:t>e</w:t>
      </w:r>
      <w:r>
        <w:rPr>
          <w:color w:val="000000"/>
        </w:rPr>
        <w:t xml:space="preserve">ringspotentiale på </w:t>
      </w:r>
      <w:r w:rsidRPr="00FC0F2F" w:rsidR="00FC0F2F">
        <w:rPr>
          <w:color w:val="000000"/>
        </w:rPr>
        <w:t>6.709.820</w:t>
      </w:r>
      <w:r w:rsidR="00FC0F2F">
        <w:rPr>
          <w:color w:val="000000"/>
        </w:rPr>
        <w:t xml:space="preserve"> k</w:t>
      </w:r>
      <w:r>
        <w:rPr>
          <w:color w:val="000000"/>
        </w:rPr>
        <w:t>r.</w:t>
      </w:r>
      <w:r w:rsidR="001417F8">
        <w:rPr>
          <w:color w:val="000000"/>
        </w:rPr>
        <w:t>,</w:t>
      </w:r>
      <w:r>
        <w:rPr>
          <w:color w:val="000000"/>
        </w:rPr>
        <w:t xml:space="preserve"> jf. </w:t>
      </w:r>
      <w:r w:rsidRPr="00456381">
        <w:rPr>
          <w:color w:val="000000"/>
        </w:rPr>
        <w:t>bilag</w:t>
      </w:r>
      <w:r>
        <w:rPr>
          <w:color w:val="000000"/>
        </w:rPr>
        <w:t xml:space="preserve"> </w:t>
      </w:r>
      <w:r w:rsidR="001417F8">
        <w:rPr>
          <w:color w:val="000000"/>
        </w:rPr>
        <w:t>3</w:t>
      </w:r>
      <w:r>
        <w:rPr>
          <w:color w:val="000000"/>
        </w:rPr>
        <w:t xml:space="preserve"> til modellen. Det betyder, at hvis selskabet havde været blandt de mest effektive selskaber, ville se</w:t>
      </w:r>
      <w:r>
        <w:rPr>
          <w:color w:val="000000"/>
        </w:rPr>
        <w:t>l</w:t>
      </w:r>
      <w:r>
        <w:rPr>
          <w:color w:val="000000"/>
        </w:rPr>
        <w:t xml:space="preserve">skabets indtægtsramme kunne reduceres med dette beløb. </w:t>
      </w:r>
    </w:p>
    <w:p w:rsidR="00AE1521" w:rsidP="00AE1521" w:rsidRDefault="00AE1521">
      <w:pPr>
        <w:jc w:val="both"/>
        <w:rPr>
          <w:color w:val="000000"/>
        </w:rPr>
      </w:pPr>
    </w:p>
    <w:p w:rsidR="00AE1521" w:rsidP="00AE1521" w:rsidRDefault="00AE1521">
      <w:pPr>
        <w:jc w:val="both"/>
        <w:rPr>
          <w:color w:val="000000"/>
        </w:rPr>
      </w:pPr>
      <w:r>
        <w:rPr>
          <w:color w:val="000000"/>
        </w:rPr>
        <w:t xml:space="preserve">Selskabets individuelle effektiviseringskrav fastsættes på baggrund af </w:t>
      </w:r>
      <w:r w:rsidRPr="00AD4B44">
        <w:t>ovenstående</w:t>
      </w:r>
      <w:r>
        <w:rPr>
          <w:color w:val="000000"/>
        </w:rPr>
        <w:t xml:space="preserve"> effektiviseringspotentiale. Selskabets individuelle effektiv</w:t>
      </w:r>
      <w:r>
        <w:rPr>
          <w:color w:val="000000"/>
        </w:rPr>
        <w:t>i</w:t>
      </w:r>
      <w:r>
        <w:rPr>
          <w:color w:val="000000"/>
        </w:rPr>
        <w:t xml:space="preserve">seringskrav er fastsat til </w:t>
      </w:r>
      <w:bookmarkStart w:name="IndiKrav" w:id="10"/>
      <w:r w:rsidRPr="00FC0F2F" w:rsidR="00FC0F2F">
        <w:rPr>
          <w:color w:val="000000"/>
        </w:rPr>
        <w:t>1.677.455</w:t>
      </w:r>
      <w:bookmarkEnd w:id="10"/>
      <w:r>
        <w:rPr>
          <w:szCs w:val="24"/>
        </w:rPr>
        <w:t xml:space="preserve"> </w:t>
      </w:r>
      <w:r>
        <w:rPr>
          <w:color w:val="000000"/>
        </w:rPr>
        <w:t xml:space="preserve">kr., jf. </w:t>
      </w:r>
      <w:r w:rsidRPr="00456381">
        <w:rPr>
          <w:color w:val="000000"/>
        </w:rPr>
        <w:t>bilag</w:t>
      </w:r>
      <w:r>
        <w:rPr>
          <w:color w:val="000000"/>
        </w:rPr>
        <w:t xml:space="preserve"> </w:t>
      </w:r>
      <w:r w:rsidR="001417F8">
        <w:rPr>
          <w:color w:val="000000"/>
        </w:rPr>
        <w:t>3</w:t>
      </w:r>
      <w:r>
        <w:rPr>
          <w:color w:val="000000"/>
        </w:rPr>
        <w:t xml:space="preserve"> til modellen.</w:t>
      </w:r>
    </w:p>
    <w:p w:rsidR="00244B2A" w:rsidP="001F00F2" w:rsidRDefault="00244B2A"/>
    <w:p w:rsidRPr="001F00F2" w:rsidR="00557CB7" w:rsidP="001F00F2" w:rsidRDefault="00557CB7"/>
    <w:p w:rsidRPr="001F00F2" w:rsidR="00AE1521" w:rsidP="00AE1521" w:rsidRDefault="00AE1521">
      <w:pPr>
        <w:pStyle w:val="Overskrift1"/>
        <w:rPr>
          <w:sz w:val="28"/>
          <w:szCs w:val="28"/>
        </w:rPr>
      </w:pPr>
      <w:r w:rsidRPr="006E7BEB">
        <w:rPr>
          <w:sz w:val="28"/>
          <w:szCs w:val="28"/>
        </w:rPr>
        <w:t>Investeringer</w:t>
      </w:r>
    </w:p>
    <w:p w:rsidR="00AE1521" w:rsidP="00AE1521" w:rsidRDefault="00AE1521"/>
    <w:p w:rsidR="00AE1521" w:rsidP="00AE1521" w:rsidRDefault="00AE1521">
      <w:pPr>
        <w:jc w:val="both"/>
      </w:pPr>
      <w:r>
        <w:t>Det følger af bestemmelsen i prisloftbekendtgørelsens § 24, stk. 1,</w:t>
      </w:r>
      <w:r w:rsidRPr="00377508">
        <w:t xml:space="preserve"> </w:t>
      </w:r>
      <w:r>
        <w:t>at se</w:t>
      </w:r>
      <w:r>
        <w:t>l</w:t>
      </w:r>
      <w:r>
        <w:t>skabet alene kan</w:t>
      </w:r>
      <w:r w:rsidRPr="00130B0A">
        <w:t xml:space="preserve"> anvende den likviditet, som tillæggene for planlagte, gennemførte og historiske investeringer og supplerende investeringsti</w:t>
      </w:r>
      <w:r w:rsidRPr="00130B0A">
        <w:t>l</w:t>
      </w:r>
      <w:r w:rsidRPr="00130B0A">
        <w:t>læg samt korrektionen for gennemførte investeringer giver anledning til, jf. § 5, stk. 2</w:t>
      </w:r>
      <w:r w:rsidR="00980485">
        <w:t>,</w:t>
      </w:r>
      <w:r w:rsidRPr="00130B0A">
        <w:t xml:space="preserve"> og §§ 10-12</w:t>
      </w:r>
      <w:r>
        <w:t>, t</w:t>
      </w:r>
      <w:r w:rsidRPr="00130B0A">
        <w:t>il</w:t>
      </w:r>
      <w:r>
        <w:t xml:space="preserve"> </w:t>
      </w:r>
      <w:r w:rsidRPr="00130B0A">
        <w:t>finansiering af udgifter til tillægsberettig</w:t>
      </w:r>
      <w:r w:rsidRPr="00130B0A">
        <w:t>e</w:t>
      </w:r>
      <w:r w:rsidRPr="00130B0A">
        <w:t>de investeringer, til køb af grunde, til bortskaffelse af akti</w:t>
      </w:r>
      <w:r>
        <w:t>ver, der er taget ud af drift</w:t>
      </w:r>
      <w:r w:rsidRPr="00130B0A">
        <w:t xml:space="preserve"> og reetablering som følge heraf, samt til delvis tilbagebetaling af tilslutningsbidrag ved etablering af alternativ bortskaffelse af tag- og overfladevand. </w:t>
      </w:r>
    </w:p>
    <w:p w:rsidR="00AE1521" w:rsidP="00AE1521" w:rsidRDefault="00AE1521">
      <w:pPr>
        <w:jc w:val="both"/>
      </w:pPr>
    </w:p>
    <w:p w:rsidRPr="00130B0A" w:rsidR="00AE1521" w:rsidP="00AE1521" w:rsidRDefault="00AE1521">
      <w:pPr>
        <w:jc w:val="both"/>
      </w:pPr>
      <w:r w:rsidRPr="00130B0A">
        <w:t>Herudover kan likviditeten fra tilslutningsbidrag og salg af anlægsakt</w:t>
      </w:r>
      <w:r w:rsidRPr="00130B0A">
        <w:t>i</w:t>
      </w:r>
      <w:r w:rsidRPr="00130B0A">
        <w:t>ver, jf. § 21, stk. 4, samt ekstraordinære effektiviseringsgevinster jf. § 26 stk. 2, ud over finansiering af tillægsberettigede investeringer også a</w:t>
      </w:r>
      <w:r w:rsidRPr="00130B0A">
        <w:t>n</w:t>
      </w:r>
      <w:r w:rsidRPr="00130B0A">
        <w:t>vendes</w:t>
      </w:r>
      <w:r>
        <w:t xml:space="preserve"> </w:t>
      </w:r>
      <w:r w:rsidRPr="00130B0A">
        <w:t>til køb af grunde, til bortskaffelse af aktiver, der er taget ud af drift, og reetablering som følge heraf, samt til delvis tilbagebetaling af tilslutningsbidrag ved etablering af alternativ bortskaffelse af tag- og overfladevand.</w:t>
      </w:r>
    </w:p>
    <w:p w:rsidR="00AE1521" w:rsidP="00AE1521" w:rsidRDefault="00AE1521">
      <w:pPr>
        <w:jc w:val="both"/>
      </w:pPr>
    </w:p>
    <w:p w:rsidR="00AE1521" w:rsidP="00AE1521" w:rsidRDefault="00AE1521">
      <w:pPr>
        <w:jc w:val="both"/>
      </w:pPr>
      <w:r w:rsidRPr="00B82DF3">
        <w:t>Selskabet skal være opmærksom</w:t>
      </w:r>
      <w:r>
        <w:t>t</w:t>
      </w:r>
      <w:r w:rsidRPr="00B82DF3">
        <w:t xml:space="preserve"> på, at der ved kontrollen med overho</w:t>
      </w:r>
      <w:r w:rsidRPr="00B82DF3">
        <w:t>l</w:t>
      </w:r>
      <w:r w:rsidRPr="00B82DF3">
        <w:t>delsen af prisloftet for 201</w:t>
      </w:r>
      <w:r>
        <w:t>2</w:t>
      </w:r>
      <w:r w:rsidRPr="00B82DF3">
        <w:t xml:space="preserve"> - som foretages i dette prisloft for 201</w:t>
      </w:r>
      <w:r>
        <w:t>4</w:t>
      </w:r>
      <w:r w:rsidRPr="00B82DF3">
        <w:t xml:space="preserve"> - kan opstå en korrektion, som får betydning for den samlede størrelse af se</w:t>
      </w:r>
      <w:r w:rsidRPr="00B82DF3">
        <w:t>l</w:t>
      </w:r>
      <w:r w:rsidRPr="00B82DF3">
        <w:t>skabets investeringsmidler i prisloftet for 201</w:t>
      </w:r>
      <w:r>
        <w:t>4</w:t>
      </w:r>
      <w:r w:rsidRPr="00B82DF3">
        <w:t>. Hvis dette er tilfældet, vil det fremgå af afsnittet ”Korrektion for overholdelse af indtægtsramme i prisloft 201</w:t>
      </w:r>
      <w:r>
        <w:t>2</w:t>
      </w:r>
      <w:r w:rsidRPr="00B82DF3">
        <w:t>” nedenfor.</w:t>
      </w:r>
      <w:r>
        <w:t xml:space="preserve">   </w:t>
      </w:r>
    </w:p>
    <w:p w:rsidR="00AE1521" w:rsidP="00AE1521" w:rsidRDefault="00AE1521">
      <w:pPr>
        <w:jc w:val="both"/>
      </w:pPr>
    </w:p>
    <w:p w:rsidRPr="001F00F2" w:rsidR="00AE1521" w:rsidP="00AE1521" w:rsidRDefault="00AE1521">
      <w:pPr>
        <w:rPr>
          <w:b/>
          <w:szCs w:val="24"/>
        </w:rPr>
      </w:pPr>
      <w:r w:rsidRPr="001F00F2">
        <w:rPr>
          <w:b/>
          <w:szCs w:val="24"/>
        </w:rPr>
        <w:t xml:space="preserve">Tillæg for historiske investeringer </w:t>
      </w:r>
    </w:p>
    <w:p w:rsidR="00AE1521" w:rsidP="00AE1521" w:rsidRDefault="00AE1521">
      <w:pPr>
        <w:jc w:val="both"/>
      </w:pPr>
      <w:r>
        <w:t>Forsyningssekretariatet fastsætter tillæg for historiske investeringer på baggrund af værdiansættelsen i den reguleringsmæssige åbningsbalance pr. 1. januar 2010, som blev udarbejdet i forbindelse med fastsættelsen af prislofterne for 2011. Værdiansættelsen blev foretaget ud fra standardpr</w:t>
      </w:r>
      <w:r>
        <w:t>i</w:t>
      </w:r>
      <w:r>
        <w:t xml:space="preserve">ser og standardlevetider, som fremgår af pris- og levetidskataloget, jf. prisloftbekendtgørelsens bilag 1.  </w:t>
      </w:r>
    </w:p>
    <w:p w:rsidR="00AE1521" w:rsidP="00AE1521" w:rsidRDefault="00AE1521">
      <w:pPr>
        <w:jc w:val="both"/>
      </w:pPr>
      <w:r>
        <w:lastRenderedPageBreak/>
        <w:t>Ifølge prisloftbekendtgørelsens § 12, stk. 2 og 4, udgør tillægget for h</w:t>
      </w:r>
      <w:r>
        <w:t>i</w:t>
      </w:r>
      <w:r>
        <w:t>storiske investeringer de årlige standardafskrivninger, og Forsyningss</w:t>
      </w:r>
      <w:r>
        <w:t>e</w:t>
      </w:r>
      <w:r>
        <w:t>kretariatet fastsætter dette tillæg. I henhold til prisloftbekendtgørelsens § 12, stk. 3, reguleres tillægget for historiske investeringer med standarda</w:t>
      </w:r>
      <w:r>
        <w:t>f</w:t>
      </w:r>
      <w:r>
        <w:t>skrivninge</w:t>
      </w:r>
      <w:r w:rsidR="00196117">
        <w:t>r, der</w:t>
      </w:r>
      <w:r w:rsidR="00F43AE8">
        <w:t xml:space="preserve"> bortfalder, som følge af</w:t>
      </w:r>
      <w:r>
        <w:t xml:space="preserve"> at anlæg er færdigafskrevet.</w:t>
      </w:r>
    </w:p>
    <w:p w:rsidR="00AE1521" w:rsidP="00AE1521" w:rsidRDefault="00AE1521"/>
    <w:p w:rsidR="00AE1521" w:rsidP="00AE1521" w:rsidRDefault="00AE1521">
      <w:pPr>
        <w:jc w:val="both"/>
      </w:pPr>
      <w:r>
        <w:t xml:space="preserve">Værdien af de materielle anlægsaktiver pr. 1. januar 2010 udgør </w:t>
      </w:r>
      <w:r w:rsidR="005E0FA5">
        <w:t>1.513.062.707</w:t>
      </w:r>
      <w:r>
        <w:t xml:space="preserve"> kr. De årlige standardafskrivninger på de materielle a</w:t>
      </w:r>
      <w:r>
        <w:t>n</w:t>
      </w:r>
      <w:r>
        <w:t xml:space="preserve">lægsaktiver (på værdien </w:t>
      </w:r>
      <w:r w:rsidR="005E0FA5">
        <w:t>1.513.062</w:t>
      </w:r>
      <w:r>
        <w:t xml:space="preserve"> kr.) udgør ifølge pris- og levetidskat</w:t>
      </w:r>
      <w:r>
        <w:t>a</w:t>
      </w:r>
      <w:r>
        <w:t xml:space="preserve">loget </w:t>
      </w:r>
      <w:r w:rsidR="005E0FA5">
        <w:t>35.878.449</w:t>
      </w:r>
      <w:r>
        <w:t xml:space="preserve"> kr. </w:t>
      </w:r>
    </w:p>
    <w:p w:rsidR="00AE1521" w:rsidP="00AE1521" w:rsidRDefault="00AE1521"/>
    <w:p w:rsidRPr="005E0FA5" w:rsidR="00AE1521" w:rsidP="00AE1521" w:rsidRDefault="00AE1521">
      <w:pPr>
        <w:jc w:val="both"/>
      </w:pPr>
      <w:r>
        <w:t xml:space="preserve">Forsyningssekretariatet har lagt selskabets indsendte åbningsbalance, dokumentation samt eventuelle ændringer hertil til </w:t>
      </w:r>
      <w:r w:rsidRPr="005E0FA5">
        <w:t xml:space="preserve">grund, og selskabet opnår således et tillæg for historiske investeringer på </w:t>
      </w:r>
      <w:bookmarkStart w:name="HistInv" w:id="11"/>
      <w:r w:rsidRPr="005E0FA5" w:rsidR="005E0FA5">
        <w:t>35.878.449</w:t>
      </w:r>
      <w:bookmarkEnd w:id="11"/>
      <w:r w:rsidRPr="005E0FA5">
        <w:t xml:space="preserve"> kr.</w:t>
      </w:r>
    </w:p>
    <w:p w:rsidRPr="005E0FA5" w:rsidR="00AE1521" w:rsidP="00AE1521" w:rsidRDefault="00AE1521">
      <w:pPr>
        <w:rPr>
          <w:b/>
          <w:szCs w:val="24"/>
        </w:rPr>
      </w:pPr>
    </w:p>
    <w:p w:rsidRPr="005E0FA5" w:rsidR="00AE1521" w:rsidP="00AE1521" w:rsidRDefault="00AE1521">
      <w:pPr>
        <w:rPr>
          <w:b/>
          <w:szCs w:val="24"/>
        </w:rPr>
      </w:pPr>
      <w:r w:rsidRPr="005E0FA5">
        <w:rPr>
          <w:b/>
          <w:szCs w:val="24"/>
        </w:rPr>
        <w:t xml:space="preserve">Tillæg for gennemførte investeringer i 2012 </w:t>
      </w:r>
    </w:p>
    <w:p w:rsidR="00AE1521" w:rsidP="00AE1521" w:rsidRDefault="00AE1521">
      <w:pPr>
        <w:autoSpaceDE w:val="0"/>
        <w:autoSpaceDN w:val="0"/>
        <w:adjustRightInd w:val="0"/>
        <w:jc w:val="both"/>
      </w:pPr>
      <w:r w:rsidRPr="005E0FA5">
        <w:t>Forsyningssekretariatet fastsætter tillæg for de gennemførte investeri</w:t>
      </w:r>
      <w:r w:rsidRPr="005E0FA5">
        <w:t>n</w:t>
      </w:r>
      <w:r w:rsidRPr="005E0FA5">
        <w:t>ger</w:t>
      </w:r>
      <w:r>
        <w:t>, som er gennemført efter 1. januar 2010 og frem til og med året, som ligger to år forud for prisloftåret, jf. prisloftbekendtgørelsens § 11, stk. 1 og 4. Tillægget for de gennemførte investeringer udgør i henhold til pri</w:t>
      </w:r>
      <w:r>
        <w:t>s</w:t>
      </w:r>
      <w:r>
        <w:t>loftbekendtgørelsens § 11, stk. 2, de fremtidige årlige lineære afskrivni</w:t>
      </w:r>
      <w:r>
        <w:t>n</w:t>
      </w:r>
      <w:r>
        <w:t>ger af de gennemførte investeringer baseret på standardlevetider. Kun investeringer gennemført på effektive og markedsmæssige vilkår kan indregnes som et tillæg til prisloftet.</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Tillægget for gennemførte investeringer reguleres i henhold til § 11</w:t>
      </w:r>
      <w:r w:rsidR="0018792F">
        <w:t>, stk. 3, med afskrivninger, der</w:t>
      </w:r>
      <w:r>
        <w:t xml:space="preserve"> bortfalder</w:t>
      </w:r>
      <w:r w:rsidR="0018792F">
        <w:t xml:space="preserve"> som følge af, at et anlæg</w:t>
      </w:r>
      <w:r>
        <w:t xml:space="preserve"> er færdiga</w:t>
      </w:r>
      <w:r>
        <w:t>f</w:t>
      </w:r>
      <w:r>
        <w:t xml:space="preserve">skrevet. </w:t>
      </w:r>
    </w:p>
    <w:p w:rsidR="00AE1521" w:rsidP="00AE1521" w:rsidRDefault="00AE1521">
      <w:pPr>
        <w:jc w:val="both"/>
      </w:pPr>
    </w:p>
    <w:p w:rsidR="00AE1521" w:rsidP="00AE1521" w:rsidRDefault="00AE1521">
      <w:pPr>
        <w:jc w:val="both"/>
      </w:pPr>
      <w:r>
        <w:t>Selskabets samlede tillæg for gennemførte investeringer udgør det a</w:t>
      </w:r>
      <w:r>
        <w:t>k</w:t>
      </w:r>
      <w:r>
        <w:t xml:space="preserve">kumulerede tillæg for gennemførte investeringer efter den 1. januar 2010. Selskabet fik ved fastsættelsen af prisloftet for 2013 et tillæg for gennemførte investeringer i 2011 og 2010 på i alt </w:t>
      </w:r>
      <w:r w:rsidR="005E0FA5">
        <w:t>2.822.827</w:t>
      </w:r>
      <w:r>
        <w:t xml:space="preserve"> kr. </w:t>
      </w:r>
    </w:p>
    <w:p w:rsidR="00AE1521" w:rsidP="00AE1521" w:rsidRDefault="00AE1521">
      <w:pPr>
        <w:jc w:val="both"/>
      </w:pPr>
    </w:p>
    <w:p w:rsidR="00760CE7" w:rsidP="00760CE7" w:rsidRDefault="00AE1521">
      <w:pPr>
        <w:autoSpaceDE w:val="0"/>
        <w:autoSpaceDN w:val="0"/>
        <w:adjustRightInd w:val="0"/>
        <w:jc w:val="both"/>
      </w:pPr>
      <w:r>
        <w:t>Nedenfor følger en oversigt over selskabets indberettede gennemførte investeringer i 2012:</w:t>
      </w:r>
    </w:p>
    <w:p w:rsidR="00760CE7" w:rsidP="00760CE7" w:rsidRDefault="00760CE7">
      <w:pPr>
        <w:autoSpaceDE w:val="0"/>
        <w:autoSpaceDN w:val="0"/>
        <w:adjustRightInd w:val="0"/>
        <w:jc w:val="both"/>
      </w:pPr>
    </w:p>
    <w:tbl>
      <w:tblPr>
        <w:tblW w:w="5000" w:type="pct"/>
        <w:tblCellMar>
          <w:left w:w="70" w:type="dxa"/>
          <w:right w:w="70" w:type="dxa"/>
        </w:tblCellMar>
        <w:tblLook w:val="04A0" w:firstRow="1" w:lastRow="0" w:firstColumn="1" w:lastColumn="0" w:noHBand="0" w:noVBand="1"/>
      </w:tblPr>
      <w:tblGrid>
        <w:gridCol w:w="2447"/>
        <w:gridCol w:w="540"/>
        <w:gridCol w:w="1507"/>
        <w:gridCol w:w="1541"/>
        <w:gridCol w:w="1163"/>
      </w:tblGrid>
      <w:tr w:rsidRPr="00760CE7" w:rsidR="00760CE7" w:rsidTr="00760CE7">
        <w:trPr>
          <w:trHeight w:val="315"/>
        </w:trPr>
        <w:tc>
          <w:tcPr>
            <w:tcW w:w="5000" w:type="pct"/>
            <w:gridSpan w:val="5"/>
            <w:tcBorders>
              <w:top w:val="single" w:color="auto" w:sz="8" w:space="0"/>
              <w:left w:val="single" w:color="auto" w:sz="8" w:space="0"/>
              <w:bottom w:val="single" w:color="auto" w:sz="8" w:space="0"/>
              <w:right w:val="single" w:color="000000" w:sz="8" w:space="0"/>
            </w:tcBorders>
            <w:shd w:val="clear" w:color="000000" w:fill="000000"/>
            <w:vAlign w:val="bottom"/>
            <w:hideMark/>
          </w:tcPr>
          <w:p w:rsidRPr="00760CE7" w:rsidR="00760CE7" w:rsidP="00760CE7" w:rsidRDefault="00760CE7">
            <w:pPr>
              <w:spacing w:line="240" w:lineRule="auto"/>
              <w:jc w:val="center"/>
              <w:rPr>
                <w:b/>
                <w:bCs/>
                <w:color w:val="FFFFFF"/>
                <w:sz w:val="20"/>
              </w:rPr>
            </w:pPr>
            <w:r w:rsidRPr="00760CE7">
              <w:rPr>
                <w:b/>
                <w:bCs/>
                <w:color w:val="FFFFFF"/>
                <w:sz w:val="20"/>
              </w:rPr>
              <w:t xml:space="preserve">Frederikssund Spildevand A/S </w:t>
            </w:r>
          </w:p>
        </w:tc>
      </w:tr>
      <w:tr w:rsidRPr="00760CE7" w:rsidR="00760CE7" w:rsidTr="00AD4A58">
        <w:trPr>
          <w:trHeight w:val="78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center"/>
              <w:rPr>
                <w:b/>
                <w:bCs/>
                <w:color w:val="000000"/>
                <w:sz w:val="20"/>
              </w:rPr>
            </w:pPr>
            <w:r w:rsidRPr="00760CE7">
              <w:rPr>
                <w:b/>
                <w:bCs/>
                <w:color w:val="000000"/>
                <w:sz w:val="20"/>
              </w:rPr>
              <w:t xml:space="preserve"> Beskrivelse af investeri</w:t>
            </w:r>
            <w:r w:rsidRPr="00760CE7">
              <w:rPr>
                <w:b/>
                <w:bCs/>
                <w:color w:val="000000"/>
                <w:sz w:val="20"/>
              </w:rPr>
              <w:t>n</w:t>
            </w:r>
            <w:r w:rsidRPr="00760CE7">
              <w:rPr>
                <w:b/>
                <w:bCs/>
                <w:color w:val="000000"/>
                <w:sz w:val="20"/>
              </w:rPr>
              <w:t xml:space="preserve">gen   </w:t>
            </w:r>
          </w:p>
        </w:tc>
        <w:tc>
          <w:tcPr>
            <w:tcW w:w="375" w:type="pct"/>
            <w:tcBorders>
              <w:top w:val="nil"/>
              <w:left w:val="nil"/>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center"/>
              <w:rPr>
                <w:b/>
                <w:bCs/>
                <w:color w:val="000000"/>
                <w:sz w:val="20"/>
              </w:rPr>
            </w:pPr>
            <w:r w:rsidRPr="00760CE7">
              <w:rPr>
                <w:b/>
                <w:bCs/>
                <w:color w:val="000000"/>
                <w:sz w:val="20"/>
              </w:rPr>
              <w:t xml:space="preserve"> År </w:t>
            </w:r>
          </w:p>
        </w:tc>
        <w:tc>
          <w:tcPr>
            <w:tcW w:w="1047" w:type="pct"/>
            <w:tcBorders>
              <w:top w:val="nil"/>
              <w:left w:val="nil"/>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center"/>
              <w:rPr>
                <w:b/>
                <w:bCs/>
                <w:color w:val="000000"/>
                <w:sz w:val="20"/>
              </w:rPr>
            </w:pPr>
            <w:r w:rsidRPr="00760CE7">
              <w:rPr>
                <w:b/>
                <w:bCs/>
                <w:color w:val="000000"/>
                <w:sz w:val="20"/>
              </w:rPr>
              <w:t xml:space="preserve"> Standardlev</w:t>
            </w:r>
            <w:r w:rsidRPr="00760CE7">
              <w:rPr>
                <w:b/>
                <w:bCs/>
                <w:color w:val="000000"/>
                <w:sz w:val="20"/>
              </w:rPr>
              <w:t>e</w:t>
            </w:r>
            <w:r w:rsidRPr="00760CE7">
              <w:rPr>
                <w:b/>
                <w:bCs/>
                <w:color w:val="000000"/>
                <w:sz w:val="20"/>
              </w:rPr>
              <w:t xml:space="preserve">tid (antal år)   </w:t>
            </w:r>
          </w:p>
        </w:tc>
        <w:tc>
          <w:tcPr>
            <w:tcW w:w="1070" w:type="pct"/>
            <w:tcBorders>
              <w:top w:val="nil"/>
              <w:left w:val="nil"/>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center"/>
              <w:rPr>
                <w:b/>
                <w:bCs/>
                <w:color w:val="000000"/>
                <w:sz w:val="20"/>
              </w:rPr>
            </w:pPr>
            <w:r w:rsidRPr="00760CE7">
              <w:rPr>
                <w:b/>
                <w:bCs/>
                <w:color w:val="000000"/>
                <w:sz w:val="20"/>
              </w:rPr>
              <w:t xml:space="preserve"> Anskaffelse</w:t>
            </w:r>
            <w:r w:rsidRPr="00760CE7">
              <w:rPr>
                <w:b/>
                <w:bCs/>
                <w:color w:val="000000"/>
                <w:sz w:val="20"/>
              </w:rPr>
              <w:t>s</w:t>
            </w:r>
            <w:r w:rsidRPr="00760CE7">
              <w:rPr>
                <w:b/>
                <w:bCs/>
                <w:color w:val="000000"/>
                <w:sz w:val="20"/>
              </w:rPr>
              <w:t xml:space="preserve">pris (i kr.)   </w:t>
            </w:r>
          </w:p>
        </w:tc>
        <w:tc>
          <w:tcPr>
            <w:tcW w:w="808" w:type="pct"/>
            <w:tcBorders>
              <w:top w:val="nil"/>
              <w:left w:val="nil"/>
              <w:bottom w:val="single" w:color="auto" w:sz="4" w:space="0"/>
              <w:right w:val="single" w:color="auto" w:sz="8" w:space="0"/>
            </w:tcBorders>
            <w:shd w:val="clear" w:color="auto" w:fill="auto"/>
            <w:vAlign w:val="bottom"/>
            <w:hideMark/>
          </w:tcPr>
          <w:p w:rsidRPr="00760CE7" w:rsidR="00760CE7" w:rsidP="00760CE7" w:rsidRDefault="00760CE7">
            <w:pPr>
              <w:spacing w:line="240" w:lineRule="auto"/>
              <w:jc w:val="center"/>
              <w:rPr>
                <w:b/>
                <w:bCs/>
                <w:color w:val="000000"/>
                <w:sz w:val="20"/>
              </w:rPr>
            </w:pPr>
            <w:r w:rsidRPr="00760CE7">
              <w:rPr>
                <w:b/>
                <w:bCs/>
                <w:color w:val="000000"/>
                <w:sz w:val="20"/>
              </w:rPr>
              <w:t xml:space="preserve"> Afskri</w:t>
            </w:r>
            <w:r w:rsidRPr="00760CE7">
              <w:rPr>
                <w:b/>
                <w:bCs/>
                <w:color w:val="000000"/>
                <w:sz w:val="20"/>
              </w:rPr>
              <w:t>v</w:t>
            </w:r>
            <w:r w:rsidRPr="00760CE7">
              <w:rPr>
                <w:b/>
                <w:bCs/>
                <w:color w:val="000000"/>
                <w:sz w:val="20"/>
              </w:rPr>
              <w:t xml:space="preserve">ning (i kr.)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Indløb med riste, Konstru</w:t>
            </w:r>
            <w:r w:rsidRPr="00760CE7">
              <w:rPr>
                <w:color w:val="000000"/>
                <w:sz w:val="20"/>
              </w:rPr>
              <w:t>k</w:t>
            </w:r>
            <w:r w:rsidRPr="00760CE7">
              <w:rPr>
                <w:color w:val="000000"/>
                <w:sz w:val="20"/>
              </w:rPr>
              <w:t xml:space="preserve">tioner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60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400.000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6.667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Sand- og fedtfang, Kontruktioner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60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143.187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2.386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Beluftningstanke, Mek/EL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598.810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29.941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Beluftningstanke, SRO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1.245.614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124.561 </w:t>
            </w:r>
          </w:p>
        </w:tc>
      </w:tr>
    </w:tbl>
    <w:p w:rsidR="00AD4A58" w:rsidRDefault="00AD4A58">
      <w:r>
        <w:br w:type="page"/>
      </w:r>
    </w:p>
    <w:tbl>
      <w:tblPr>
        <w:tblW w:w="5000" w:type="pct"/>
        <w:tblCellMar>
          <w:left w:w="70" w:type="dxa"/>
          <w:right w:w="70" w:type="dxa"/>
        </w:tblCellMar>
        <w:tblLook w:val="04A0" w:firstRow="1" w:lastRow="0" w:firstColumn="1" w:lastColumn="0" w:noHBand="0" w:noVBand="1"/>
      </w:tblPr>
      <w:tblGrid>
        <w:gridCol w:w="2448"/>
        <w:gridCol w:w="540"/>
        <w:gridCol w:w="1507"/>
        <w:gridCol w:w="1540"/>
        <w:gridCol w:w="1163"/>
      </w:tblGrid>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lastRenderedPageBreak/>
              <w:t xml:space="preserve"> Efterklaringstanke, SRO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320.876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32.088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Efterbehandlingsanlæg (sandfilter), Mek/EL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386.292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19.315 </w:t>
            </w:r>
          </w:p>
        </w:tc>
      </w:tr>
      <w:tr w:rsidRPr="00760CE7" w:rsidR="00760CE7" w:rsidTr="00AD4A58">
        <w:trPr>
          <w:trHeight w:val="52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Slutafvanding, slam - hø</w:t>
            </w:r>
            <w:r w:rsidRPr="00760CE7">
              <w:rPr>
                <w:color w:val="000000"/>
                <w:sz w:val="20"/>
              </w:rPr>
              <w:t>j</w:t>
            </w:r>
            <w:r w:rsidRPr="00760CE7">
              <w:rPr>
                <w:color w:val="000000"/>
                <w:sz w:val="20"/>
              </w:rPr>
              <w:t xml:space="preserve">teknologisk (centrifuger), Mek/El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470.513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23.526 </w:t>
            </w:r>
          </w:p>
        </w:tc>
      </w:tr>
      <w:tr w:rsidRPr="00760CE7" w:rsidR="00760CE7" w:rsidTr="00AD4A58">
        <w:trPr>
          <w:trHeight w:val="52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Slutdisponering, slam - la</w:t>
            </w:r>
            <w:r w:rsidRPr="00760CE7">
              <w:rPr>
                <w:color w:val="000000"/>
                <w:sz w:val="20"/>
              </w:rPr>
              <w:t>v</w:t>
            </w:r>
            <w:r w:rsidRPr="00760CE7">
              <w:rPr>
                <w:color w:val="000000"/>
                <w:sz w:val="20"/>
              </w:rPr>
              <w:t>teknologisk (slammineral</w:t>
            </w:r>
            <w:r w:rsidRPr="00760CE7">
              <w:rPr>
                <w:color w:val="000000"/>
                <w:sz w:val="20"/>
              </w:rPr>
              <w:t>i</w:t>
            </w:r>
            <w:r w:rsidRPr="00760CE7">
              <w:rPr>
                <w:color w:val="000000"/>
                <w:sz w:val="20"/>
              </w:rPr>
              <w:t xml:space="preserve">sering), Mek/EL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243.902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12.195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Ledningsnet = Ø 200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1.202.742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16.037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Ø 200 mm &lt; Ledningsnet = Ø 500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14.226.746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189.690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Ø 500 mm &lt; Ledningsnet = Ø 800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1.062.765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14.170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Ø 800 mm &lt; Ledningsnet = Ø 1000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350.000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4.667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Strømpeforing = Ø 200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39.455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789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Strømpeforing Ø 200 mm &lt; Ledningsnet = Ø 500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1.295.762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25.915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Strømpeforing Ø 500 mm &lt; Ledningsnet = Ø 800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168.494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3.370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Brønde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2.871.369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38.285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Stik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326.773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4.357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Tryksatte minipumpestati</w:t>
            </w:r>
            <w:r w:rsidRPr="00760CE7">
              <w:rPr>
                <w:color w:val="000000"/>
                <w:sz w:val="20"/>
              </w:rPr>
              <w:t>o</w:t>
            </w:r>
            <w:r w:rsidRPr="00760CE7">
              <w:rPr>
                <w:color w:val="000000"/>
                <w:sz w:val="20"/>
              </w:rPr>
              <w:t xml:space="preserve">ner (husstandssystemer)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30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248.573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8.286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Pumpestationer i brønde (&lt; 6,25 m2), Mek/EL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2.810.624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140.531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Pumpestationer i brønde (&lt; 6,25 m2), SRO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874.310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87.431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Pumpestationer m. ove</w:t>
            </w:r>
            <w:r w:rsidRPr="00760CE7">
              <w:rPr>
                <w:color w:val="000000"/>
                <w:sz w:val="20"/>
              </w:rPr>
              <w:t>r</w:t>
            </w:r>
            <w:r w:rsidRPr="00760CE7">
              <w:rPr>
                <w:color w:val="000000"/>
                <w:sz w:val="20"/>
              </w:rPr>
              <w:t xml:space="preserve">bygning (&lt; 20 m2), Mek/EL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363.142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18.157 </w:t>
            </w:r>
          </w:p>
        </w:tc>
      </w:tr>
      <w:tr w:rsidRPr="00760CE7" w:rsidR="00760CE7" w:rsidTr="00AD4A58">
        <w:trPr>
          <w:trHeight w:val="52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Forsinkelsesbassiner, lu</w:t>
            </w:r>
            <w:r w:rsidRPr="00760CE7">
              <w:rPr>
                <w:color w:val="000000"/>
                <w:sz w:val="20"/>
              </w:rPr>
              <w:t>k</w:t>
            </w:r>
            <w:r w:rsidRPr="00760CE7">
              <w:rPr>
                <w:color w:val="000000"/>
                <w:sz w:val="20"/>
              </w:rPr>
              <w:t>kede uden automatisk ren</w:t>
            </w:r>
            <w:r w:rsidRPr="00760CE7">
              <w:rPr>
                <w:color w:val="000000"/>
                <w:sz w:val="20"/>
              </w:rPr>
              <w:t>s</w:t>
            </w:r>
            <w:r w:rsidRPr="00760CE7">
              <w:rPr>
                <w:color w:val="000000"/>
                <w:sz w:val="20"/>
              </w:rPr>
              <w:t xml:space="preserve">ning og SRO Miljøklasse B (mindre end 1.000 m3)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115.525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2.311 </w:t>
            </w:r>
          </w:p>
        </w:tc>
      </w:tr>
      <w:tr w:rsidRPr="00760CE7" w:rsidR="00760CE7" w:rsidTr="00AD4A58">
        <w:trPr>
          <w:trHeight w:val="78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Forsinkelsesbassiner, lu</w:t>
            </w:r>
            <w:r w:rsidRPr="00760CE7">
              <w:rPr>
                <w:color w:val="000000"/>
                <w:sz w:val="20"/>
              </w:rPr>
              <w:t>k</w:t>
            </w:r>
            <w:r w:rsidRPr="00760CE7">
              <w:rPr>
                <w:color w:val="000000"/>
                <w:sz w:val="20"/>
              </w:rPr>
              <w:t>kede med automatisk ren</w:t>
            </w:r>
            <w:r w:rsidRPr="00760CE7">
              <w:rPr>
                <w:color w:val="000000"/>
                <w:sz w:val="20"/>
              </w:rPr>
              <w:t>s</w:t>
            </w:r>
            <w:r w:rsidRPr="00760CE7">
              <w:rPr>
                <w:color w:val="000000"/>
                <w:sz w:val="20"/>
              </w:rPr>
              <w:t>ning og SRO Miljøklasse A (500-1.000 m3) - Konstru</w:t>
            </w:r>
            <w:r w:rsidRPr="00760CE7">
              <w:rPr>
                <w:color w:val="000000"/>
                <w:sz w:val="20"/>
              </w:rPr>
              <w:t>k</w:t>
            </w:r>
            <w:r w:rsidRPr="00760CE7">
              <w:rPr>
                <w:color w:val="000000"/>
                <w:sz w:val="20"/>
              </w:rPr>
              <w:t xml:space="preserve">tioner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60.770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810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Jordbassin Klasse B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176.810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3.536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Indløb-/udløbsarrangement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2.009.347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26.791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Andre bygninger (tekniske installationer, målere mv.)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360.692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4.809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Køretøjer, små lastvogne (&lt; 3.500 kg.)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828.624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165.725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Køretøjer, entreprenørm</w:t>
            </w:r>
            <w:r w:rsidRPr="00760CE7">
              <w:rPr>
                <w:color w:val="000000"/>
                <w:sz w:val="20"/>
              </w:rPr>
              <w:t>a</w:t>
            </w:r>
            <w:r w:rsidRPr="00760CE7">
              <w:rPr>
                <w:color w:val="000000"/>
                <w:sz w:val="20"/>
              </w:rPr>
              <w:t xml:space="preserve">skiner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20.000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4.000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Slamsugere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3.711.059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742.212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Værksteder, garager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7.714.878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102.865 </w:t>
            </w:r>
          </w:p>
        </w:tc>
      </w:tr>
      <w:tr w:rsidRPr="00760CE7" w:rsidR="00760CE7"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lastRenderedPageBreak/>
              <w:t xml:space="preserve"> Arbejdsplads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49.715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9.943 </w:t>
            </w:r>
          </w:p>
        </w:tc>
      </w:tr>
      <w:tr w:rsidRPr="00760CE7" w:rsidR="00760CE7" w:rsidTr="00AD4A58">
        <w:trPr>
          <w:trHeight w:val="52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rPr>
                <w:color w:val="000000"/>
                <w:sz w:val="20"/>
              </w:rPr>
            </w:pPr>
            <w:r w:rsidRPr="00760CE7">
              <w:rPr>
                <w:color w:val="000000"/>
                <w:sz w:val="20"/>
              </w:rPr>
              <w:t xml:space="preserve"> Slutafvanding, slam - la</w:t>
            </w:r>
            <w:r w:rsidRPr="00760CE7">
              <w:rPr>
                <w:color w:val="000000"/>
                <w:sz w:val="20"/>
              </w:rPr>
              <w:t>v</w:t>
            </w:r>
            <w:r w:rsidRPr="00760CE7">
              <w:rPr>
                <w:color w:val="000000"/>
                <w:sz w:val="20"/>
              </w:rPr>
              <w:t xml:space="preserve">teknologisk (slambede), Konstruktioner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60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484.741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760CE7" w:rsidR="00760CE7" w:rsidP="00760CE7" w:rsidRDefault="00760CE7">
            <w:pPr>
              <w:spacing w:line="240" w:lineRule="auto"/>
              <w:jc w:val="right"/>
              <w:rPr>
                <w:color w:val="000000"/>
                <w:sz w:val="20"/>
              </w:rPr>
            </w:pPr>
            <w:r w:rsidRPr="00760CE7">
              <w:rPr>
                <w:color w:val="000000"/>
                <w:sz w:val="20"/>
              </w:rPr>
              <w:t xml:space="preserve">           8.079 </w:t>
            </w:r>
          </w:p>
        </w:tc>
      </w:tr>
      <w:tr w:rsidRPr="00760CE7" w:rsidR="00760CE7" w:rsidTr="00AD4A58">
        <w:trPr>
          <w:trHeight w:val="315"/>
        </w:trPr>
        <w:tc>
          <w:tcPr>
            <w:tcW w:w="4192" w:type="pct"/>
            <w:gridSpan w:val="4"/>
            <w:tcBorders>
              <w:top w:val="single" w:color="auto" w:sz="4" w:space="0"/>
              <w:left w:val="single" w:color="auto" w:sz="8" w:space="0"/>
              <w:bottom w:val="single" w:color="auto" w:sz="8" w:space="0"/>
              <w:right w:val="nil"/>
            </w:tcBorders>
            <w:shd w:val="clear" w:color="000000" w:fill="000000"/>
            <w:vAlign w:val="bottom"/>
            <w:hideMark/>
          </w:tcPr>
          <w:p w:rsidRPr="00760CE7" w:rsidR="00760CE7" w:rsidP="00760CE7" w:rsidRDefault="00760CE7">
            <w:pPr>
              <w:spacing w:line="240" w:lineRule="auto"/>
              <w:jc w:val="right"/>
              <w:rPr>
                <w:b/>
                <w:bCs/>
                <w:color w:val="FFFFFF"/>
                <w:sz w:val="20"/>
              </w:rPr>
            </w:pPr>
            <w:r w:rsidRPr="00760CE7">
              <w:rPr>
                <w:b/>
                <w:bCs/>
                <w:color w:val="FFFFFF"/>
                <w:sz w:val="20"/>
              </w:rPr>
              <w:t xml:space="preserve"> I alt </w:t>
            </w:r>
          </w:p>
        </w:tc>
        <w:tc>
          <w:tcPr>
            <w:tcW w:w="808" w:type="pct"/>
            <w:tcBorders>
              <w:top w:val="nil"/>
              <w:left w:val="nil"/>
              <w:bottom w:val="single" w:color="auto" w:sz="8" w:space="0"/>
              <w:right w:val="single" w:color="auto" w:sz="8" w:space="0"/>
            </w:tcBorders>
            <w:shd w:val="clear" w:color="000000" w:fill="000000"/>
            <w:vAlign w:val="bottom"/>
            <w:hideMark/>
          </w:tcPr>
          <w:p w:rsidRPr="00760CE7" w:rsidR="00760CE7" w:rsidP="00760CE7" w:rsidRDefault="00760CE7">
            <w:pPr>
              <w:spacing w:line="240" w:lineRule="auto"/>
              <w:jc w:val="center"/>
              <w:rPr>
                <w:b/>
                <w:bCs/>
                <w:color w:val="FFFFFF"/>
                <w:sz w:val="20"/>
              </w:rPr>
            </w:pPr>
            <w:r w:rsidRPr="00760CE7">
              <w:rPr>
                <w:b/>
                <w:bCs/>
                <w:color w:val="FFFFFF"/>
                <w:sz w:val="20"/>
              </w:rPr>
              <w:t xml:space="preserve">  1.873.444 </w:t>
            </w:r>
          </w:p>
        </w:tc>
      </w:tr>
    </w:tbl>
    <w:p w:rsidR="005E0FA5" w:rsidP="00760CE7" w:rsidRDefault="005E0FA5">
      <w:pPr>
        <w:autoSpaceDE w:val="0"/>
        <w:autoSpaceDN w:val="0"/>
        <w:adjustRightInd w:val="0"/>
        <w:jc w:val="both"/>
      </w:pPr>
    </w:p>
    <w:p w:rsidR="00AE1521" w:rsidP="00AE1521" w:rsidRDefault="00AE1521">
      <w:pPr>
        <w:autoSpaceDE w:val="0"/>
        <w:autoSpaceDN w:val="0"/>
        <w:adjustRightInd w:val="0"/>
        <w:jc w:val="both"/>
      </w:pPr>
      <w:r>
        <w:t>Forsyningssekretariatet har, på basis af selskabets indberettede invest</w:t>
      </w:r>
      <w:r>
        <w:t>e</w:t>
      </w:r>
      <w:r>
        <w:t>ringsregnskab for året 2012 samt den tilhørende underskrevne revisore</w:t>
      </w:r>
      <w:r>
        <w:t>r</w:t>
      </w:r>
      <w:r>
        <w:t xml:space="preserve">klæring af </w:t>
      </w:r>
      <w:r w:rsidR="005E0FA5">
        <w:t>15. april 2013</w:t>
      </w:r>
      <w:r>
        <w:t>, vurderet de indberettede gennemførte invest</w:t>
      </w:r>
      <w:r>
        <w:t>e</w:t>
      </w:r>
      <w:r>
        <w:t xml:space="preserve">ringer i 2012 som tillægsberettigede. Som følge heraf modtager selskabet et tillæg for gennemførte investeringer baseret på standardlevetider i 2012 på </w:t>
      </w:r>
      <w:r w:rsidR="00760CE7">
        <w:t>1.873.444</w:t>
      </w:r>
      <w:r>
        <w:t xml:space="preserve"> kr.</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rsidRPr="00E1134D">
        <w:t>Selskabets samlede tillæg for gennemførte investeringer i 2010, 2011 og 2012 baseret på standardlevetider udgør [</w:t>
      </w:r>
      <w:r w:rsidRPr="00E1134D" w:rsidR="00E1134D">
        <w:t>1.668.457</w:t>
      </w:r>
      <w:r w:rsidRPr="00E1134D" w:rsidR="005E0FA5">
        <w:t xml:space="preserve"> </w:t>
      </w:r>
      <w:r w:rsidRPr="00E1134D">
        <w:t>+</w:t>
      </w:r>
      <w:r w:rsidRPr="00E1134D" w:rsidR="005E0FA5">
        <w:t xml:space="preserve"> </w:t>
      </w:r>
      <w:r w:rsidRPr="00E1134D" w:rsidR="00E1134D">
        <w:t>1.154.370</w:t>
      </w:r>
      <w:r w:rsidRPr="00E1134D">
        <w:t xml:space="preserve"> + </w:t>
      </w:r>
      <w:r w:rsidR="00760CE7">
        <w:t>1.873.444</w:t>
      </w:r>
      <w:r w:rsidRPr="00E1134D">
        <w:t xml:space="preserve"> kr.]. Som følge heraf modtager selskabet et tillæg for genne</w:t>
      </w:r>
      <w:r w:rsidRPr="00E1134D">
        <w:t>m</w:t>
      </w:r>
      <w:r w:rsidRPr="00E1134D">
        <w:t xml:space="preserve">førte investeringer i prisloftet for 2014 på </w:t>
      </w:r>
      <w:bookmarkStart w:name="GenfInv" w:id="12"/>
      <w:r w:rsidR="00760CE7">
        <w:t>4.696</w:t>
      </w:r>
      <w:r w:rsidRPr="00E1134D" w:rsidR="00E1134D">
        <w:t>.</w:t>
      </w:r>
      <w:r w:rsidR="00760CE7">
        <w:t>270</w:t>
      </w:r>
      <w:bookmarkEnd w:id="12"/>
      <w:r w:rsidRPr="00E1134D">
        <w:t xml:space="preserve"> kr</w:t>
      </w:r>
      <w:r>
        <w:t>. svarende til summen af de lineære standardafskrivninger i årene 2010, 2011 og 2012.</w:t>
      </w:r>
    </w:p>
    <w:p w:rsidR="00AE1521" w:rsidP="00AE1521" w:rsidRDefault="00AE1521">
      <w:pPr>
        <w:rPr>
          <w:b/>
          <w:szCs w:val="24"/>
        </w:rPr>
      </w:pPr>
    </w:p>
    <w:p w:rsidRPr="001F00F2" w:rsidR="00AE1521" w:rsidP="00AE1521" w:rsidRDefault="00AE1521">
      <w:pPr>
        <w:rPr>
          <w:b/>
          <w:szCs w:val="24"/>
        </w:rPr>
      </w:pPr>
      <w:r w:rsidRPr="001F00F2">
        <w:rPr>
          <w:b/>
          <w:szCs w:val="24"/>
        </w:rPr>
        <w:t xml:space="preserve">Korrektion </w:t>
      </w:r>
      <w:r>
        <w:rPr>
          <w:b/>
          <w:szCs w:val="24"/>
        </w:rPr>
        <w:t>af tillæg for planlagte investeringer vedrørende 2012</w:t>
      </w:r>
    </w:p>
    <w:p w:rsidR="00AE1521" w:rsidP="00AE1521" w:rsidRDefault="00AE1521">
      <w:pPr>
        <w:autoSpaceDE w:val="0"/>
        <w:autoSpaceDN w:val="0"/>
        <w:adjustRightInd w:val="0"/>
        <w:jc w:val="both"/>
      </w:pPr>
      <w:r w:rsidRPr="00965142">
        <w:t>Forsyningssekretariatet foretager årligt en engangsregulering for forske</w:t>
      </w:r>
      <w:r w:rsidRPr="00965142">
        <w:t>l</w:t>
      </w:r>
      <w:r w:rsidRPr="00965142">
        <w:t>le mellem tidligere indregnede forventede afskrivninger fra et selskabs investeringsplan og faktiske beløb fra selskabets investeringsregnskab for det år, der ligger to år forud for prisloftåret, jf. prisloftbekendtgøre</w:t>
      </w:r>
      <w:r w:rsidRPr="00965142">
        <w:t>l</w:t>
      </w:r>
      <w:r w:rsidRPr="00965142">
        <w:t xml:space="preserve">sens § 5, stk. </w:t>
      </w:r>
      <w:r>
        <w:t>2</w:t>
      </w:r>
      <w:r w:rsidRPr="00965142">
        <w:t xml:space="preserve">. </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Den årlige engangsregulering foretages i forhold til forskellen mellem selskabets budgetterede afskrivninger for planlagte investeringer i 2012 og selskabets faktiske afskrivninger i 2012, som det fremgår af invest</w:t>
      </w:r>
      <w:r>
        <w:t>e</w:t>
      </w:r>
      <w:r>
        <w:t>ringsregnskabet i 2012.</w:t>
      </w:r>
    </w:p>
    <w:p w:rsidR="00AE1521" w:rsidP="00AE1521" w:rsidRDefault="00AE1521">
      <w:pPr>
        <w:autoSpaceDE w:val="0"/>
        <w:autoSpaceDN w:val="0"/>
        <w:adjustRightInd w:val="0"/>
        <w:jc w:val="both"/>
      </w:pPr>
    </w:p>
    <w:p w:rsidRPr="00E1134D" w:rsidR="00AE1521" w:rsidP="00AE1521" w:rsidRDefault="00AE1521">
      <w:pPr>
        <w:autoSpaceDE w:val="0"/>
        <w:autoSpaceDN w:val="0"/>
        <w:adjustRightInd w:val="0"/>
        <w:jc w:val="both"/>
      </w:pPr>
      <w:r>
        <w:t>Ved den årlige engangsregulering skal der tages højde for forskellen mellem de faktiske afskrivninger i 2012 og de tillæg for planlagte inv</w:t>
      </w:r>
      <w:r>
        <w:t>e</w:t>
      </w:r>
      <w:r>
        <w:t>steringer i 2012</w:t>
      </w:r>
      <w:r w:rsidR="0018792F">
        <w:t>,</w:t>
      </w:r>
      <w:r>
        <w:t xml:space="preserve"> som er </w:t>
      </w:r>
      <w:r w:rsidRPr="00E1134D">
        <w:t>givet i prisloftet for 2012 og i prisloftet for 2013.</w:t>
      </w:r>
    </w:p>
    <w:p w:rsidRPr="00E1134D"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rsidRPr="00E1134D">
        <w:t>Selskabet fik i prisloftet for 2012 et</w:t>
      </w:r>
      <w:r w:rsidRPr="00E1134D" w:rsidR="00E1134D">
        <w:t xml:space="preserve"> </w:t>
      </w:r>
      <w:r w:rsidRPr="00E1134D">
        <w:t>t</w:t>
      </w:r>
      <w:r w:rsidRPr="00E1134D" w:rsidR="00E1134D">
        <w:t>illæg</w:t>
      </w:r>
      <w:r w:rsidRPr="00E1134D">
        <w:t xml:space="preserve"> for planlagte investeringer i 2012 på i alt </w:t>
      </w:r>
      <w:r w:rsidRPr="00E1134D" w:rsidR="00E1134D">
        <w:t>1.003.333</w:t>
      </w:r>
      <w:r w:rsidRPr="00E1134D">
        <w:t xml:space="preserve"> kr. Selskabet fik i prisloftet for 2013 et till</w:t>
      </w:r>
      <w:r w:rsidRPr="00E1134D" w:rsidR="00E1134D">
        <w:t>æg</w:t>
      </w:r>
      <w:r w:rsidRPr="00E1134D">
        <w:t xml:space="preserve"> for planlagte investeringer i 2012 på i alt </w:t>
      </w:r>
      <w:r w:rsidRPr="00E1134D" w:rsidR="00E1134D">
        <w:t>1.666.724</w:t>
      </w:r>
      <w:r w:rsidRPr="00E1134D">
        <w:t xml:space="preserve"> kr.</w:t>
      </w:r>
    </w:p>
    <w:p w:rsidRPr="00E1134D" w:rsidR="001417F8" w:rsidP="00AE1521" w:rsidRDefault="001417F8">
      <w:pPr>
        <w:autoSpaceDE w:val="0"/>
        <w:autoSpaceDN w:val="0"/>
        <w:adjustRightInd w:val="0"/>
        <w:jc w:val="both"/>
      </w:pPr>
    </w:p>
    <w:p w:rsidR="00AE1521" w:rsidP="00AE1521" w:rsidRDefault="00AE1521">
      <w:pPr>
        <w:autoSpaceDE w:val="0"/>
        <w:autoSpaceDN w:val="0"/>
        <w:adjustRightInd w:val="0"/>
        <w:jc w:val="both"/>
      </w:pPr>
      <w:r w:rsidRPr="00E1134D">
        <w:t>Det fremgår i afsnittet ovenfor, at selskabets afskrivninger på genne</w:t>
      </w:r>
      <w:r w:rsidRPr="00E1134D">
        <w:t>m</w:t>
      </w:r>
      <w:r w:rsidRPr="00E1134D">
        <w:t xml:space="preserve">førte investeringer i 2012 er på </w:t>
      </w:r>
      <w:r w:rsidR="00760CE7">
        <w:t>1.873.444</w:t>
      </w:r>
      <w:r w:rsidRPr="00E1134D">
        <w:t xml:space="preserve"> kr. Korrektionen i prisloftet for 2014 bliver således </w:t>
      </w:r>
      <w:bookmarkStart w:name="KorrInv" w:id="13"/>
      <w:r w:rsidR="00760CE7">
        <w:t>1.076</w:t>
      </w:r>
      <w:r w:rsidRPr="00E1134D" w:rsidR="00E1134D">
        <w:t>.</w:t>
      </w:r>
      <w:r w:rsidR="00760CE7">
        <w:t>831</w:t>
      </w:r>
      <w:bookmarkEnd w:id="13"/>
      <w:r w:rsidRPr="00E1134D">
        <w:t xml:space="preserve"> kr. (</w:t>
      </w:r>
      <w:r w:rsidR="00760CE7">
        <w:t>1.873.444</w:t>
      </w:r>
      <w:r w:rsidRPr="00E1134D">
        <w:t xml:space="preserve"> kr. – </w:t>
      </w:r>
      <w:r w:rsidRPr="00E1134D" w:rsidR="00E1134D">
        <w:t>1.003.333</w:t>
      </w:r>
      <w:r w:rsidRPr="00E1134D">
        <w:t xml:space="preserve"> kr. + </w:t>
      </w:r>
      <w:r w:rsidR="00760CE7">
        <w:t>1.873.444</w:t>
      </w:r>
      <w:r w:rsidRPr="00E1134D">
        <w:t xml:space="preserve"> kr. – </w:t>
      </w:r>
      <w:r w:rsidRPr="00E1134D" w:rsidR="00E1134D">
        <w:t>1.666.724</w:t>
      </w:r>
      <w:r w:rsidRPr="00E1134D">
        <w:t xml:space="preserve"> kr.)</w:t>
      </w:r>
    </w:p>
    <w:p w:rsidRPr="001F00F2" w:rsidR="00AE1521" w:rsidP="00AE1521" w:rsidRDefault="00AE1521"/>
    <w:p w:rsidRPr="001F00F2" w:rsidR="00AE1521" w:rsidP="00AE1521" w:rsidRDefault="00AE1521">
      <w:pPr>
        <w:rPr>
          <w:b/>
          <w:szCs w:val="24"/>
        </w:rPr>
      </w:pPr>
      <w:r w:rsidRPr="001F00F2">
        <w:rPr>
          <w:b/>
          <w:szCs w:val="24"/>
        </w:rPr>
        <w:t>Tillæg fo</w:t>
      </w:r>
      <w:r>
        <w:rPr>
          <w:b/>
          <w:szCs w:val="24"/>
        </w:rPr>
        <w:t>r planlagte investeringer i 2013</w:t>
      </w:r>
      <w:r w:rsidRPr="001F00F2">
        <w:rPr>
          <w:b/>
          <w:szCs w:val="24"/>
        </w:rPr>
        <w:t xml:space="preserve"> og 201</w:t>
      </w:r>
      <w:r>
        <w:rPr>
          <w:b/>
          <w:szCs w:val="24"/>
        </w:rPr>
        <w:t>4</w:t>
      </w:r>
      <w:r w:rsidRPr="001F00F2">
        <w:rPr>
          <w:b/>
          <w:szCs w:val="24"/>
        </w:rPr>
        <w:t xml:space="preserve"> </w:t>
      </w:r>
    </w:p>
    <w:p w:rsidR="00AE1521" w:rsidP="00AE1521" w:rsidRDefault="00AE1521">
      <w:pPr>
        <w:jc w:val="both"/>
      </w:pPr>
      <w:r>
        <w:t>Forsyningssekretariatet fastsætter tillæg</w:t>
      </w:r>
      <w:r w:rsidR="0018792F">
        <w:t xml:space="preserve"> for de planlagte investeringer</w:t>
      </w:r>
      <w:r>
        <w:t xml:space="preserve"> på baggrund af de oplysninger, som van</w:t>
      </w:r>
      <w:r w:rsidR="0018792F">
        <w:t>dselskaberne har indberettet for</w:t>
      </w:r>
      <w:r>
        <w:t xml:space="preserve"> prisloftåret og året forud for prisloftåret, jf. prisloftbekendtgørelsens § 10, stk. 1 og 3. Tillægget for de planlagte investeringer udgør i henhold </w:t>
      </w:r>
      <w:r>
        <w:lastRenderedPageBreak/>
        <w:t>til prisloftbekendtgørelsens § 10, stk. 2, den budgetterede værdi af de fremtidige årlige lineære afskrivninger af de planlagte investeringer b</w:t>
      </w:r>
      <w:r>
        <w:t>a</w:t>
      </w:r>
      <w:r>
        <w:t>seret på standardlevetider. Disse standardlevetider er baseret på de i pris- og levetidskataloget angivne standardlevetider.</w:t>
      </w:r>
    </w:p>
    <w:p w:rsidR="00AE1521" w:rsidP="00AE1521" w:rsidRDefault="00AE1521">
      <w:pPr>
        <w:jc w:val="both"/>
      </w:pPr>
    </w:p>
    <w:p w:rsidR="00AE1521" w:rsidP="00AE1521" w:rsidRDefault="00AE1521">
      <w:pPr>
        <w:jc w:val="both"/>
      </w:pPr>
      <w:r>
        <w:t>Til brug for Forsyningssekretariatets vurdering af, hvorvidt en planlagt investering er tillægsberettiget, har selskaberne indberettet deres planla</w:t>
      </w:r>
      <w:r>
        <w:t>g</w:t>
      </w:r>
      <w:r w:rsidR="0018792F">
        <w:t>te investeringer for</w:t>
      </w:r>
      <w:r>
        <w:t xml:space="preserve"> prisloftåret samt året forud for prisloftåret, hvor det af selskaberne tydeliggøres, hvilke investeringer de forventer at foretage i prisloftåret samt året forud for prisloftåret. </w:t>
      </w:r>
    </w:p>
    <w:p w:rsidR="00AE1521" w:rsidP="00AE1521" w:rsidRDefault="00AE1521">
      <w:pPr>
        <w:jc w:val="both"/>
      </w:pPr>
    </w:p>
    <w:p w:rsidR="00AE1521" w:rsidP="00AE1521" w:rsidRDefault="00AE1521">
      <w:pPr>
        <w:jc w:val="both"/>
      </w:pPr>
      <w:r>
        <w:t>Som hovedregel vurderes en planlagt investering at være tillægsberett</w:t>
      </w:r>
      <w:r>
        <w:t>i</w:t>
      </w:r>
      <w:r>
        <w:t>get, såfremt den kan betegnes som en investering i henhold til prisloftb</w:t>
      </w:r>
      <w:r>
        <w:t>e</w:t>
      </w:r>
      <w:r>
        <w:t>kendtgørelsens § 3, stk. 6, er en del af de primære aktiviteter og invest</w:t>
      </w:r>
      <w:r>
        <w:t>e</w:t>
      </w:r>
      <w:r>
        <w:t>ringens levetid er fastsat i overensstemmelse med de i pris- og levetid</w:t>
      </w:r>
      <w:r>
        <w:t>s</w:t>
      </w:r>
      <w:r>
        <w:t>kataloget angivne standardlevetider for de pågældende aktiver. For akt</w:t>
      </w:r>
      <w:r>
        <w:t>i</w:t>
      </w:r>
      <w:r>
        <w:t>ver, der ikke findes i pris- og levetidskataloget</w:t>
      </w:r>
      <w:r w:rsidR="0018792F">
        <w:t>,</w:t>
      </w:r>
      <w:r>
        <w:t xml:space="preserve"> er det Forsyningssekret</w:t>
      </w:r>
      <w:r>
        <w:t>a</w:t>
      </w:r>
      <w:r>
        <w:t xml:space="preserve">riatet, der fastsætter standardlevetiden. </w:t>
      </w:r>
    </w:p>
    <w:p w:rsidR="00AE1521" w:rsidP="00AE1521" w:rsidRDefault="00AE1521">
      <w:pPr>
        <w:jc w:val="both"/>
      </w:pPr>
    </w:p>
    <w:p w:rsidR="00AE1521" w:rsidP="00AE1521" w:rsidRDefault="00AE1521">
      <w:pPr>
        <w:jc w:val="both"/>
      </w:pPr>
      <w:r>
        <w:t>Hvis et selskab foretager en renovering, der medfører en væsentlig o</w:t>
      </w:r>
      <w:r>
        <w:t>m</w:t>
      </w:r>
      <w:r w:rsidR="00650DD2">
        <w:t>kostning, som</w:t>
      </w:r>
      <w:r>
        <w:t xml:space="preserve"> forlænger restlevetiden for anlægsaktivet eller tilfører a</w:t>
      </w:r>
      <w:r>
        <w:t>n</w:t>
      </w:r>
      <w:r>
        <w:t>lægsaktivet væsentlige nye eller forbedrede egenskaber, kan den medt</w:t>
      </w:r>
      <w:r>
        <w:t>a</w:t>
      </w:r>
      <w:r>
        <w:t xml:space="preserve">ges som en planlagt investering. </w:t>
      </w:r>
    </w:p>
    <w:p w:rsidR="00AE1521" w:rsidP="00AE1521" w:rsidRDefault="00AE1521">
      <w:pPr>
        <w:jc w:val="both"/>
      </w:pPr>
    </w:p>
    <w:p w:rsidR="00AE1521" w:rsidP="00AE1521" w:rsidRDefault="00AE1521">
      <w:pPr>
        <w:jc w:val="both"/>
      </w:pPr>
      <w:r>
        <w:t>Ifølge prisloftbekendtgørelsens § 10, stk. 1 og 2, udgør tillægget for planlagte investeringer den budgetterede værdi af de fremtidige årlige l</w:t>
      </w:r>
      <w:r>
        <w:t>i</w:t>
      </w:r>
      <w:r>
        <w:t>neære afskrivninger af de planlagte investeringer baseret på standardl</w:t>
      </w:r>
      <w:r>
        <w:t>e</w:t>
      </w:r>
      <w:r>
        <w:t xml:space="preserve">vetider. </w:t>
      </w:r>
    </w:p>
    <w:p w:rsidR="00AE1521" w:rsidP="00AE1521" w:rsidRDefault="00AE1521">
      <w:pPr>
        <w:jc w:val="both"/>
      </w:pPr>
    </w:p>
    <w:p w:rsidR="00AE1521" w:rsidP="00AE1521" w:rsidRDefault="00AE1521">
      <w:pPr>
        <w:jc w:val="both"/>
      </w:pPr>
      <w:r>
        <w:t>Nedenfor følger en oversigt over selskabets indberettede planlagte inv</w:t>
      </w:r>
      <w:r>
        <w:t>e</w:t>
      </w:r>
      <w:r>
        <w:t>steringer for årene 2013 og 2014:</w:t>
      </w:r>
    </w:p>
    <w:p w:rsidR="00AE1521" w:rsidP="00AE1521" w:rsidRDefault="00AE1521">
      <w:pPr>
        <w:autoSpaceDE w:val="0"/>
        <w:autoSpaceDN w:val="0"/>
        <w:adjustRightInd w:val="0"/>
        <w:jc w:val="both"/>
      </w:pPr>
    </w:p>
    <w:tbl>
      <w:tblPr>
        <w:tblW w:w="5000" w:type="pct"/>
        <w:tblCellMar>
          <w:left w:w="70" w:type="dxa"/>
          <w:right w:w="70" w:type="dxa"/>
        </w:tblCellMar>
        <w:tblLook w:val="04A0" w:firstRow="1" w:lastRow="0" w:firstColumn="1" w:lastColumn="0" w:noHBand="0" w:noVBand="1"/>
      </w:tblPr>
      <w:tblGrid>
        <w:gridCol w:w="2447"/>
        <w:gridCol w:w="540"/>
        <w:gridCol w:w="1507"/>
        <w:gridCol w:w="1541"/>
        <w:gridCol w:w="1163"/>
      </w:tblGrid>
      <w:tr w:rsidRPr="00E1134D" w:rsidR="00E1134D" w:rsidTr="00E1134D">
        <w:trPr>
          <w:trHeight w:val="315"/>
        </w:trPr>
        <w:tc>
          <w:tcPr>
            <w:tcW w:w="5000" w:type="pct"/>
            <w:gridSpan w:val="5"/>
            <w:tcBorders>
              <w:top w:val="single" w:color="auto" w:sz="8" w:space="0"/>
              <w:left w:val="single" w:color="auto" w:sz="8" w:space="0"/>
              <w:bottom w:val="single" w:color="auto" w:sz="8" w:space="0"/>
              <w:right w:val="single" w:color="000000" w:sz="8" w:space="0"/>
            </w:tcBorders>
            <w:shd w:val="clear" w:color="000000" w:fill="000000"/>
            <w:vAlign w:val="bottom"/>
            <w:hideMark/>
          </w:tcPr>
          <w:p w:rsidRPr="00E1134D" w:rsidR="00E1134D" w:rsidP="00E1134D" w:rsidRDefault="00E1134D">
            <w:pPr>
              <w:spacing w:line="240" w:lineRule="auto"/>
              <w:jc w:val="center"/>
              <w:rPr>
                <w:b/>
                <w:bCs/>
                <w:color w:val="FFFFFF"/>
                <w:sz w:val="20"/>
              </w:rPr>
            </w:pPr>
            <w:r w:rsidRPr="00E1134D">
              <w:rPr>
                <w:b/>
                <w:bCs/>
                <w:color w:val="FFFFFF"/>
                <w:sz w:val="20"/>
              </w:rPr>
              <w:t xml:space="preserve">Frederikssund Spildevand A/S </w:t>
            </w:r>
          </w:p>
        </w:tc>
      </w:tr>
      <w:tr w:rsidRPr="00E1134D" w:rsidR="00E1134D" w:rsidTr="00AD4A58">
        <w:trPr>
          <w:trHeight w:val="78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center"/>
              <w:rPr>
                <w:b/>
                <w:bCs/>
                <w:color w:val="000000"/>
                <w:sz w:val="20"/>
              </w:rPr>
            </w:pPr>
            <w:r w:rsidRPr="00E1134D">
              <w:rPr>
                <w:b/>
                <w:bCs/>
                <w:color w:val="000000"/>
                <w:sz w:val="20"/>
              </w:rPr>
              <w:t xml:space="preserve"> Beskrivelse af investeri</w:t>
            </w:r>
            <w:r w:rsidRPr="00E1134D">
              <w:rPr>
                <w:b/>
                <w:bCs/>
                <w:color w:val="000000"/>
                <w:sz w:val="20"/>
              </w:rPr>
              <w:t>n</w:t>
            </w:r>
            <w:r w:rsidRPr="00E1134D">
              <w:rPr>
                <w:b/>
                <w:bCs/>
                <w:color w:val="000000"/>
                <w:sz w:val="20"/>
              </w:rPr>
              <w:t xml:space="preserve">gen   </w:t>
            </w:r>
          </w:p>
        </w:tc>
        <w:tc>
          <w:tcPr>
            <w:tcW w:w="375" w:type="pct"/>
            <w:tcBorders>
              <w:top w:val="nil"/>
              <w:left w:val="nil"/>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center"/>
              <w:rPr>
                <w:b/>
                <w:bCs/>
                <w:color w:val="000000"/>
                <w:sz w:val="20"/>
              </w:rPr>
            </w:pPr>
            <w:r w:rsidRPr="00E1134D">
              <w:rPr>
                <w:b/>
                <w:bCs/>
                <w:color w:val="000000"/>
                <w:sz w:val="20"/>
              </w:rPr>
              <w:t xml:space="preserve"> År </w:t>
            </w:r>
          </w:p>
        </w:tc>
        <w:tc>
          <w:tcPr>
            <w:tcW w:w="1047" w:type="pct"/>
            <w:tcBorders>
              <w:top w:val="nil"/>
              <w:left w:val="nil"/>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center"/>
              <w:rPr>
                <w:b/>
                <w:bCs/>
                <w:color w:val="000000"/>
                <w:sz w:val="20"/>
              </w:rPr>
            </w:pPr>
            <w:r w:rsidRPr="00E1134D">
              <w:rPr>
                <w:b/>
                <w:bCs/>
                <w:color w:val="000000"/>
                <w:sz w:val="20"/>
              </w:rPr>
              <w:t xml:space="preserve"> Standardlev</w:t>
            </w:r>
            <w:r w:rsidRPr="00E1134D">
              <w:rPr>
                <w:b/>
                <w:bCs/>
                <w:color w:val="000000"/>
                <w:sz w:val="20"/>
              </w:rPr>
              <w:t>e</w:t>
            </w:r>
            <w:r w:rsidRPr="00E1134D">
              <w:rPr>
                <w:b/>
                <w:bCs/>
                <w:color w:val="000000"/>
                <w:sz w:val="20"/>
              </w:rPr>
              <w:t xml:space="preserve">tid (antal år)   </w:t>
            </w:r>
          </w:p>
        </w:tc>
        <w:tc>
          <w:tcPr>
            <w:tcW w:w="1070" w:type="pct"/>
            <w:tcBorders>
              <w:top w:val="nil"/>
              <w:left w:val="nil"/>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center"/>
              <w:rPr>
                <w:b/>
                <w:bCs/>
                <w:color w:val="000000"/>
                <w:sz w:val="20"/>
              </w:rPr>
            </w:pPr>
            <w:r w:rsidRPr="00E1134D">
              <w:rPr>
                <w:b/>
                <w:bCs/>
                <w:color w:val="000000"/>
                <w:sz w:val="20"/>
              </w:rPr>
              <w:t xml:space="preserve"> Anskaffelse</w:t>
            </w:r>
            <w:r w:rsidRPr="00E1134D">
              <w:rPr>
                <w:b/>
                <w:bCs/>
                <w:color w:val="000000"/>
                <w:sz w:val="20"/>
              </w:rPr>
              <w:t>s</w:t>
            </w:r>
            <w:r w:rsidRPr="00E1134D">
              <w:rPr>
                <w:b/>
                <w:bCs/>
                <w:color w:val="000000"/>
                <w:sz w:val="20"/>
              </w:rPr>
              <w:t xml:space="preserve">pris (i kr.)   </w:t>
            </w:r>
          </w:p>
        </w:tc>
        <w:tc>
          <w:tcPr>
            <w:tcW w:w="808" w:type="pct"/>
            <w:tcBorders>
              <w:top w:val="nil"/>
              <w:left w:val="nil"/>
              <w:bottom w:val="single" w:color="auto" w:sz="4" w:space="0"/>
              <w:right w:val="single" w:color="auto" w:sz="8" w:space="0"/>
            </w:tcBorders>
            <w:shd w:val="clear" w:color="auto" w:fill="auto"/>
            <w:vAlign w:val="bottom"/>
            <w:hideMark/>
          </w:tcPr>
          <w:p w:rsidRPr="00E1134D" w:rsidR="00E1134D" w:rsidP="00E1134D" w:rsidRDefault="00E1134D">
            <w:pPr>
              <w:spacing w:line="240" w:lineRule="auto"/>
              <w:jc w:val="center"/>
              <w:rPr>
                <w:b/>
                <w:bCs/>
                <w:color w:val="000000"/>
                <w:sz w:val="20"/>
              </w:rPr>
            </w:pPr>
            <w:r w:rsidRPr="00E1134D">
              <w:rPr>
                <w:b/>
                <w:bCs/>
                <w:color w:val="000000"/>
                <w:sz w:val="20"/>
              </w:rPr>
              <w:t xml:space="preserve"> Afskri</w:t>
            </w:r>
            <w:r w:rsidRPr="00E1134D">
              <w:rPr>
                <w:b/>
                <w:bCs/>
                <w:color w:val="000000"/>
                <w:sz w:val="20"/>
              </w:rPr>
              <w:t>v</w:t>
            </w:r>
            <w:r w:rsidRPr="00E1134D">
              <w:rPr>
                <w:b/>
                <w:bCs/>
                <w:color w:val="000000"/>
                <w:sz w:val="20"/>
              </w:rPr>
              <w:t xml:space="preserve">ning (i kr.)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Indløb med riste, Konstru</w:t>
            </w:r>
            <w:r w:rsidRPr="00E1134D">
              <w:rPr>
                <w:color w:val="000000"/>
                <w:sz w:val="20"/>
              </w:rPr>
              <w:t>k</w:t>
            </w:r>
            <w:r w:rsidRPr="00E1134D">
              <w:rPr>
                <w:color w:val="000000"/>
                <w:sz w:val="20"/>
              </w:rPr>
              <w:t>tioner</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60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3.100.000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51.667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Indløb med riste, Mek/EL</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600.000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30.000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Indløb med riste, SRO</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10.000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Sand- og fedtfang, Kontru</w:t>
            </w:r>
            <w:r w:rsidRPr="00E1134D">
              <w:rPr>
                <w:color w:val="000000"/>
                <w:sz w:val="20"/>
              </w:rPr>
              <w:t>k</w:t>
            </w:r>
            <w:r w:rsidRPr="00E1134D">
              <w:rPr>
                <w:color w:val="000000"/>
                <w:sz w:val="20"/>
              </w:rPr>
              <w:t>tioner</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60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1.000.000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16.667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Sand- og fedtfang, Mek/EL</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400.000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20.000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Sand- og fedtfang, SRO</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10.000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Beluftningstanke, Mek/EL</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1.050.000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52.500 </w:t>
            </w:r>
          </w:p>
        </w:tc>
      </w:tr>
    </w:tbl>
    <w:p w:rsidR="00AD4A58" w:rsidRDefault="00AD4A58">
      <w:r>
        <w:br w:type="page"/>
      </w:r>
    </w:p>
    <w:tbl>
      <w:tblPr>
        <w:tblW w:w="5000" w:type="pct"/>
        <w:tblCellMar>
          <w:left w:w="70" w:type="dxa"/>
          <w:right w:w="70" w:type="dxa"/>
        </w:tblCellMar>
        <w:tblLook w:val="04A0" w:firstRow="1" w:lastRow="0" w:firstColumn="1" w:lastColumn="0" w:noHBand="0" w:noVBand="1"/>
      </w:tblPr>
      <w:tblGrid>
        <w:gridCol w:w="2448"/>
        <w:gridCol w:w="540"/>
        <w:gridCol w:w="1507"/>
        <w:gridCol w:w="1540"/>
        <w:gridCol w:w="1163"/>
      </w:tblGrid>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lastRenderedPageBreak/>
              <w:t>Beluftningstanke, SRO</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1.000.000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100.000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Efterklaringstanke, SRO</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300.000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30.000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Forafvanding, slam, Mek/EL</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500.000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25.000 </w:t>
            </w:r>
          </w:p>
        </w:tc>
      </w:tr>
      <w:tr w:rsidRPr="00E1134D" w:rsidR="00E1134D" w:rsidTr="00AD4A58">
        <w:trPr>
          <w:trHeight w:val="52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Slutafvanding, slam - la</w:t>
            </w:r>
            <w:r w:rsidRPr="00E1134D">
              <w:rPr>
                <w:color w:val="000000"/>
                <w:sz w:val="20"/>
              </w:rPr>
              <w:t>v</w:t>
            </w:r>
            <w:r w:rsidRPr="00E1134D">
              <w:rPr>
                <w:color w:val="000000"/>
                <w:sz w:val="20"/>
              </w:rPr>
              <w:t>teknologisk (slambede), Mek/EL</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200.000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10.000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Ledningsnet = Ø 200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2.222.069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29.628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Ø 200 mm &lt; Ledningsnet = Ø 500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31.429.174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419.056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Strømpeforing = Ø 200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200.000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4.000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Strømpeforing Ø 200 mm &lt; Ledningsnet = Ø 500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1.300.000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26.000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Brønde</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5.775.766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77.010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Stik</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1.539.991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20.533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Pumpestationer i brønde (&lt; 6,25 m2), Konstruktioner</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3.500.000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70.000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Pumpestationer i brønde (&lt; 6,25 m2), Mek/EL</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4.290.000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214.500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Pumpestationer i brønde (&lt; 6,25 m2), SRO</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820.000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82.000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Overbygning</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125.000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1.667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Jordbassin Klasse B</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8.000.000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160.000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Indløb-/udløbsarrangement</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1.000.000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13.333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Arbejdsplads</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2013</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3.200.000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640.000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Ø 200 mm &lt; Ledningsnet = Ø 500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10.950.000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146.000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Jordbassin Klasse B</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5.500.000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110.000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Strømpeforing Ø 200 mm &lt; Ledningsnet = Ø 500 mm</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5.000.000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100.000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Pumpestationer i underjo</w:t>
            </w:r>
            <w:r w:rsidRPr="00E1134D">
              <w:rPr>
                <w:color w:val="000000"/>
                <w:sz w:val="20"/>
              </w:rPr>
              <w:t>r</w:t>
            </w:r>
            <w:r w:rsidRPr="00E1134D">
              <w:rPr>
                <w:color w:val="000000"/>
                <w:sz w:val="20"/>
              </w:rPr>
              <w:t>diske bygværker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5.000.000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100.000 </w:t>
            </w:r>
          </w:p>
        </w:tc>
      </w:tr>
      <w:tr w:rsidRPr="00E1134D" w:rsidR="00E1134D" w:rsidTr="00AD4A58">
        <w:trPr>
          <w:trHeight w:val="52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Pumpeinstallation Milj</w:t>
            </w:r>
            <w:r w:rsidRPr="00E1134D">
              <w:rPr>
                <w:color w:val="000000"/>
                <w:sz w:val="20"/>
              </w:rPr>
              <w:t>ø</w:t>
            </w:r>
            <w:r w:rsidRPr="00E1134D">
              <w:rPr>
                <w:color w:val="000000"/>
                <w:sz w:val="20"/>
              </w:rPr>
              <w:t>klasse A (1.000-1.500 l/s) - Mek/EL</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1.500.000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75.000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Pumpeinstallation Milj</w:t>
            </w:r>
            <w:r w:rsidRPr="00E1134D">
              <w:rPr>
                <w:color w:val="000000"/>
                <w:sz w:val="20"/>
              </w:rPr>
              <w:t>ø</w:t>
            </w:r>
            <w:r w:rsidRPr="00E1134D">
              <w:rPr>
                <w:color w:val="000000"/>
                <w:sz w:val="20"/>
              </w:rPr>
              <w:t>klasse A (1.000-1.500 l/s) - SRO</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500.000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50.000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Indløb med riste, Konstru</w:t>
            </w:r>
            <w:r w:rsidRPr="00E1134D">
              <w:rPr>
                <w:color w:val="000000"/>
                <w:sz w:val="20"/>
              </w:rPr>
              <w:t>k</w:t>
            </w:r>
            <w:r w:rsidRPr="00E1134D">
              <w:rPr>
                <w:color w:val="000000"/>
                <w:sz w:val="20"/>
              </w:rPr>
              <w:t>tioner</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60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6.000.000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100.000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Indløb med riste, Mek/EL</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1.500.000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75.000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Indløb med riste, SRO</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500.000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50.000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Sand- og fedtfang, Kontru</w:t>
            </w:r>
            <w:r w:rsidRPr="00E1134D">
              <w:rPr>
                <w:color w:val="000000"/>
                <w:sz w:val="20"/>
              </w:rPr>
              <w:t>k</w:t>
            </w:r>
            <w:r w:rsidRPr="00E1134D">
              <w:rPr>
                <w:color w:val="000000"/>
                <w:sz w:val="20"/>
              </w:rPr>
              <w:t>tioner</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60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3.000.000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50.000 </w:t>
            </w:r>
          </w:p>
        </w:tc>
      </w:tr>
    </w:tbl>
    <w:p w:rsidR="00AD4A58" w:rsidRDefault="00AD4A58">
      <w:r>
        <w:br w:type="page"/>
      </w:r>
    </w:p>
    <w:tbl>
      <w:tblPr>
        <w:tblW w:w="5000" w:type="pct"/>
        <w:tblCellMar>
          <w:left w:w="70" w:type="dxa"/>
          <w:right w:w="70" w:type="dxa"/>
        </w:tblCellMar>
        <w:tblLook w:val="04A0" w:firstRow="1" w:lastRow="0" w:firstColumn="1" w:lastColumn="0" w:noHBand="0" w:noVBand="1"/>
      </w:tblPr>
      <w:tblGrid>
        <w:gridCol w:w="2448"/>
        <w:gridCol w:w="540"/>
        <w:gridCol w:w="1507"/>
        <w:gridCol w:w="1540"/>
        <w:gridCol w:w="1163"/>
      </w:tblGrid>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lastRenderedPageBreak/>
              <w:t>Sand- og fedtfang, Mek/EL</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600.000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30.000 </w:t>
            </w:r>
          </w:p>
        </w:tc>
      </w:tr>
      <w:tr w:rsidRPr="00E1134D" w:rsidR="00E1134D" w:rsidTr="00AD4A58">
        <w:trPr>
          <w:trHeight w:val="30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rPr>
                <w:color w:val="000000"/>
                <w:sz w:val="20"/>
              </w:rPr>
            </w:pPr>
            <w:r w:rsidRPr="00E1134D">
              <w:rPr>
                <w:color w:val="000000"/>
                <w:sz w:val="20"/>
              </w:rPr>
              <w:t>Sand- og fedtfang, SRO</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2014</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400.000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E1134D" w:rsidR="00E1134D" w:rsidP="00E1134D" w:rsidRDefault="00E1134D">
            <w:pPr>
              <w:spacing w:line="240" w:lineRule="auto"/>
              <w:jc w:val="right"/>
              <w:rPr>
                <w:color w:val="000000"/>
                <w:sz w:val="20"/>
              </w:rPr>
            </w:pPr>
            <w:r w:rsidRPr="00E1134D">
              <w:rPr>
                <w:color w:val="000000"/>
                <w:sz w:val="20"/>
              </w:rPr>
              <w:t xml:space="preserve">            40.000 </w:t>
            </w:r>
          </w:p>
        </w:tc>
      </w:tr>
      <w:tr w:rsidRPr="00E1134D" w:rsidR="00E1134D" w:rsidTr="00AD4A58">
        <w:trPr>
          <w:trHeight w:val="315"/>
        </w:trPr>
        <w:tc>
          <w:tcPr>
            <w:tcW w:w="4192" w:type="pct"/>
            <w:gridSpan w:val="4"/>
            <w:tcBorders>
              <w:top w:val="single" w:color="auto" w:sz="4" w:space="0"/>
              <w:left w:val="single" w:color="auto" w:sz="8" w:space="0"/>
              <w:bottom w:val="single" w:color="auto" w:sz="8" w:space="0"/>
              <w:right w:val="nil"/>
            </w:tcBorders>
            <w:shd w:val="clear" w:color="000000" w:fill="000000"/>
            <w:vAlign w:val="bottom"/>
            <w:hideMark/>
          </w:tcPr>
          <w:p w:rsidRPr="00E1134D" w:rsidR="00E1134D" w:rsidP="001417F8" w:rsidRDefault="00E1134D">
            <w:pPr>
              <w:spacing w:line="240" w:lineRule="auto"/>
              <w:rPr>
                <w:b/>
                <w:bCs/>
                <w:color w:val="FFFFFF"/>
                <w:sz w:val="20"/>
              </w:rPr>
            </w:pPr>
            <w:r w:rsidRPr="00E1134D">
              <w:rPr>
                <w:b/>
                <w:bCs/>
                <w:color w:val="FFFFFF"/>
                <w:sz w:val="20"/>
              </w:rPr>
              <w:t xml:space="preserve"> I alt </w:t>
            </w:r>
          </w:p>
        </w:tc>
        <w:tc>
          <w:tcPr>
            <w:tcW w:w="808" w:type="pct"/>
            <w:tcBorders>
              <w:top w:val="nil"/>
              <w:left w:val="nil"/>
              <w:bottom w:val="single" w:color="auto" w:sz="8" w:space="0"/>
              <w:right w:val="single" w:color="auto" w:sz="8" w:space="0"/>
            </w:tcBorders>
            <w:shd w:val="clear" w:color="000000" w:fill="000000"/>
            <w:vAlign w:val="bottom"/>
            <w:hideMark/>
          </w:tcPr>
          <w:p w:rsidRPr="00E1134D" w:rsidR="00E1134D" w:rsidP="00E1134D" w:rsidRDefault="00E1134D">
            <w:pPr>
              <w:spacing w:line="240" w:lineRule="auto"/>
              <w:jc w:val="center"/>
              <w:rPr>
                <w:b/>
                <w:bCs/>
                <w:color w:val="FFFFFF"/>
                <w:sz w:val="20"/>
              </w:rPr>
            </w:pPr>
            <w:r w:rsidRPr="00E1134D">
              <w:rPr>
                <w:b/>
                <w:bCs/>
                <w:color w:val="FFFFFF"/>
                <w:sz w:val="20"/>
              </w:rPr>
              <w:t xml:space="preserve">    3.039.560 </w:t>
            </w:r>
          </w:p>
        </w:tc>
      </w:tr>
    </w:tbl>
    <w:p w:rsidR="00AE1521" w:rsidP="00AE1521" w:rsidRDefault="00AE1521">
      <w:pPr>
        <w:autoSpaceDE w:val="0"/>
        <w:autoSpaceDN w:val="0"/>
        <w:adjustRightInd w:val="0"/>
        <w:jc w:val="both"/>
        <w:rPr>
          <w:sz w:val="20"/>
        </w:rPr>
      </w:pPr>
    </w:p>
    <w:p w:rsidR="00AE1521" w:rsidP="00AE1521" w:rsidRDefault="00AE1521">
      <w:pPr>
        <w:autoSpaceDE w:val="0"/>
        <w:autoSpaceDN w:val="0"/>
        <w:adjustRightInd w:val="0"/>
        <w:jc w:val="both"/>
      </w:pPr>
      <w:r>
        <w:t xml:space="preserve">Forsyningssekretariatet har på basis af selskabets indberettede planlagte investeringer for årene 2013 samt 2014 </w:t>
      </w:r>
      <w:r w:rsidRPr="00723F73">
        <w:t>vurderet de indberettede planla</w:t>
      </w:r>
      <w:r w:rsidRPr="00723F73">
        <w:t>g</w:t>
      </w:r>
      <w:r w:rsidRPr="00723F73">
        <w:t>te investeringer som tillægsberettigede. Som følge heraf modtager se</w:t>
      </w:r>
      <w:r w:rsidRPr="00723F73">
        <w:t>l</w:t>
      </w:r>
      <w:r w:rsidRPr="00723F73">
        <w:t xml:space="preserve">skabet et tillæg for planlagte investeringer på </w:t>
      </w:r>
      <w:bookmarkStart w:name="PlanInv" w:id="14"/>
      <w:r w:rsidRPr="00723F73" w:rsidR="00723F73">
        <w:t>3.039.560</w:t>
      </w:r>
      <w:bookmarkEnd w:id="14"/>
      <w:r w:rsidRPr="00723F73">
        <w:t xml:space="preserve"> kr. svarende til summen af standardafskrivningerne i 2014 på de planlagte investeringer i årene 2013 samt 2014.</w:t>
      </w:r>
    </w:p>
    <w:p w:rsidR="00422348" w:rsidP="00422348" w:rsidRDefault="00422348"/>
    <w:p w:rsidRPr="001F00F2" w:rsidR="00AD4A58" w:rsidP="00422348" w:rsidRDefault="00AD4A58"/>
    <w:p w:rsidR="00244B2A" w:rsidP="001F00F2" w:rsidRDefault="00244B2A">
      <w:pPr>
        <w:pStyle w:val="Overskrift1"/>
        <w:rPr>
          <w:sz w:val="28"/>
          <w:szCs w:val="28"/>
        </w:rPr>
      </w:pPr>
      <w:r w:rsidRPr="001F00F2">
        <w:rPr>
          <w:sz w:val="28"/>
          <w:szCs w:val="28"/>
        </w:rPr>
        <w:t xml:space="preserve">Øvrige udgifter mv. </w:t>
      </w:r>
    </w:p>
    <w:p w:rsidRPr="001F00F2" w:rsidR="001F00F2" w:rsidP="001F00F2" w:rsidRDefault="001F00F2"/>
    <w:p w:rsidR="0073621A" w:rsidP="0073621A" w:rsidRDefault="0073621A">
      <w:pPr>
        <w:rPr>
          <w:b/>
          <w:szCs w:val="24"/>
        </w:rPr>
      </w:pPr>
      <w:r w:rsidRPr="00BA627A">
        <w:rPr>
          <w:b/>
          <w:szCs w:val="24"/>
        </w:rPr>
        <w:t>Tillæg for 1:1 omkostninger i 201</w:t>
      </w:r>
      <w:r w:rsidRPr="00BA627A" w:rsidR="00AE0A26">
        <w:rPr>
          <w:b/>
          <w:szCs w:val="24"/>
        </w:rPr>
        <w:t>4</w:t>
      </w:r>
      <w:r w:rsidRPr="00BA627A" w:rsidR="0088188B">
        <w:rPr>
          <w:b/>
          <w:szCs w:val="24"/>
        </w:rPr>
        <w:t xml:space="preserve"> </w:t>
      </w:r>
    </w:p>
    <w:p w:rsidR="0073621A" w:rsidP="0073621A" w:rsidRDefault="0073621A">
      <w:pPr>
        <w:jc w:val="both"/>
      </w:pPr>
      <w:r>
        <w:t>Forsyningssekretariatet fastsætter tillæg for 1:1 omkostninger på ba</w:t>
      </w:r>
      <w:r>
        <w:t>g</w:t>
      </w:r>
      <w:r>
        <w:t>grund af de budgettal, som selskaberne har oplyst, jf. prisloftbekendtg</w:t>
      </w:r>
      <w:r>
        <w:t>ø</w:t>
      </w:r>
      <w:r>
        <w:t>relsens § 5, stk. 1. Ifølge prisloftbekendtgørelsens § 3, stk. 4, er 1:1 o</w:t>
      </w:r>
      <w:r>
        <w:t>m</w:t>
      </w:r>
      <w:r>
        <w:t>kostninger, omkostninger, som har væsentlig betydning for selskabet, og som selskabet ikke selv har indflydelse på.</w:t>
      </w:r>
    </w:p>
    <w:p w:rsidR="0073621A" w:rsidP="0073621A" w:rsidRDefault="0073621A">
      <w:pPr>
        <w:jc w:val="both"/>
      </w:pPr>
    </w:p>
    <w:p w:rsidR="0073621A" w:rsidP="0073621A" w:rsidRDefault="0073621A">
      <w:pPr>
        <w:jc w:val="both"/>
      </w:pPr>
      <w:r>
        <w:t>Som eksempler på 1:1 omkostninger kan nævnes skatter, tjenestemand</w:t>
      </w:r>
      <w:r>
        <w:t>s</w:t>
      </w:r>
      <w:r>
        <w:t>pensioner, køb af ydelser og produkter, der er omfattet af prisloftregul</w:t>
      </w:r>
      <w:r>
        <w:t>e</w:t>
      </w:r>
      <w:r>
        <w:t>ringen hos et andet vandselskab, betalinger til Forsyningssekretariatet samt uundgåelige afgifter</w:t>
      </w:r>
      <w:r w:rsidR="006F3BA0">
        <w:t>,</w:t>
      </w:r>
      <w:r>
        <w:t xml:space="preserve"> hvis størrelse selska</w:t>
      </w:r>
      <w:r w:rsidR="006F3BA0">
        <w:t>bet ikke har indflydelse på, så</w:t>
      </w:r>
      <w:r>
        <w:t>som spildevandsafgift, jf. lovbemærkningerne til vandsektorlovens § 8.</w:t>
      </w:r>
    </w:p>
    <w:p w:rsidR="006B1426" w:rsidP="0073621A" w:rsidRDefault="006B1426">
      <w:pPr>
        <w:jc w:val="both"/>
      </w:pPr>
    </w:p>
    <w:p w:rsidR="0073621A" w:rsidP="0073621A" w:rsidRDefault="0073621A">
      <w:pPr>
        <w:jc w:val="both"/>
      </w:pPr>
      <w:r>
        <w:t>Forsyningssekretariatet tager på grundlag af prisloftbekendtgørelsens b</w:t>
      </w:r>
      <w:r>
        <w:t>e</w:t>
      </w:r>
      <w:r>
        <w:t>stemmelser herom stilling til, om en given omkostning er en 1:1 omkos</w:t>
      </w:r>
      <w:r>
        <w:t>t</w:t>
      </w:r>
      <w:r>
        <w:t xml:space="preserve">ning. </w:t>
      </w:r>
      <w:r w:rsidRPr="00F8783B">
        <w:t>For at Forsyningssekretariatet kan vurdere, om betingelserne herfor er opfyldt, kan det være nødvendigt at Forsyningssekretariatet beder se</w:t>
      </w:r>
      <w:r w:rsidRPr="00F8783B">
        <w:t>l</w:t>
      </w:r>
      <w:r w:rsidRPr="00F8783B">
        <w:t>skaberne om at redegøre og eventuelt vedlægge relevant dokumentation for, hvorfor en given omkostning efter selskabets opfattelse opfylder b</w:t>
      </w:r>
      <w:r w:rsidRPr="00F8783B">
        <w:t>e</w:t>
      </w:r>
      <w:r w:rsidRPr="00F8783B">
        <w:t>tingelserne.</w:t>
      </w:r>
    </w:p>
    <w:p w:rsidR="0073621A" w:rsidP="0073621A" w:rsidRDefault="0073621A">
      <w:pPr>
        <w:rPr>
          <w:b/>
          <w:szCs w:val="24"/>
        </w:rPr>
      </w:pPr>
    </w:p>
    <w:p w:rsidR="0073621A" w:rsidP="0073621A" w:rsidRDefault="0073621A">
      <w:pPr>
        <w:jc w:val="both"/>
      </w:pPr>
      <w:r>
        <w:t>Selskabet har indberettet følgende som 1:1 omkostninger:</w:t>
      </w:r>
    </w:p>
    <w:p w:rsidR="0073621A" w:rsidP="0073621A" w:rsidRDefault="0073621A">
      <w:pPr>
        <w:jc w:val="both"/>
      </w:pPr>
    </w:p>
    <w:p w:rsidRPr="008E5F0B" w:rsidR="00DE352C" w:rsidP="00DE352C" w:rsidRDefault="00DE352C">
      <w:pPr>
        <w:numPr>
          <w:ilvl w:val="0"/>
          <w:numId w:val="8"/>
        </w:numPr>
        <w:jc w:val="both"/>
        <w:rPr>
          <w:b/>
          <w:szCs w:val="24"/>
        </w:rPr>
      </w:pPr>
      <w:r>
        <w:t>Betaling til Forsyningssekretariatet: 33.000 kr.</w:t>
      </w:r>
    </w:p>
    <w:p w:rsidRPr="000545B2" w:rsidR="00DE352C" w:rsidP="00DE352C" w:rsidRDefault="00DE352C">
      <w:pPr>
        <w:numPr>
          <w:ilvl w:val="0"/>
          <w:numId w:val="8"/>
        </w:numPr>
        <w:jc w:val="both"/>
        <w:rPr>
          <w:b/>
          <w:szCs w:val="24"/>
        </w:rPr>
      </w:pPr>
      <w:r>
        <w:t xml:space="preserve">Spildevandsafgift: </w:t>
      </w:r>
      <w:r>
        <w:rPr>
          <w:szCs w:val="24"/>
        </w:rPr>
        <w:t>550.000</w:t>
      </w:r>
      <w:r w:rsidRPr="000545B2">
        <w:rPr>
          <w:szCs w:val="24"/>
        </w:rPr>
        <w:t xml:space="preserve"> kr.</w:t>
      </w:r>
    </w:p>
    <w:p w:rsidR="0073621A" w:rsidP="0073621A" w:rsidRDefault="0073621A">
      <w:pPr>
        <w:jc w:val="both"/>
      </w:pPr>
    </w:p>
    <w:p w:rsidR="00DE352C" w:rsidP="00DE352C" w:rsidRDefault="00DE352C">
      <w:pPr>
        <w:jc w:val="both"/>
      </w:pPr>
      <w:r>
        <w:t>Betalingen til Forsyningssekretariatet er ifølge prisloftbekendtgørelsens § 3, stk. 4, en 1:1 omkostning. Ifølge vandsektorlovens § 10, stk. 2, bet</w:t>
      </w:r>
      <w:r>
        <w:t>a</w:t>
      </w:r>
      <w:r>
        <w:t>ler vandselskaber, som sekretariatet behandler benchmarking eller fas</w:t>
      </w:r>
      <w:r>
        <w:t>t</w:t>
      </w:r>
      <w:r>
        <w:t xml:space="preserve">sætter prisloft for, 31.000 kr. pr. år. Dette beløb skal dog reguleres med den i de successivt offentliggjorte forslag til finanslov fastsatte sats for det generelle pris- og lønindeks med niveaukorrektion, jf. § 10, stk. 4. </w:t>
      </w:r>
      <w:r>
        <w:lastRenderedPageBreak/>
        <w:t xml:space="preserve">Det lægges til grund, at betalingen i 2014 vil være omtrent 33.000 kr. pr. selskab. </w:t>
      </w:r>
    </w:p>
    <w:p w:rsidR="00DE352C" w:rsidP="00DE352C" w:rsidRDefault="00DE352C">
      <w:pPr>
        <w:jc w:val="both"/>
      </w:pPr>
    </w:p>
    <w:p w:rsidR="00DE352C" w:rsidP="00DE352C" w:rsidRDefault="00DE352C">
      <w:pPr>
        <w:jc w:val="both"/>
      </w:pPr>
      <w:r>
        <w:t>Spildevandsafgiften betales til statskassen med hjemmel i lov om afgift af spildevand (LBK nr. 636 af 21/08/1998). Forsyningssekretariatet vu</w:t>
      </w:r>
      <w:r>
        <w:t>r</w:t>
      </w:r>
      <w:r>
        <w:t>derer, at denne afgift i henhold til prisloftbekendtgørelsens § 3, stk. 4, er en 1:1 omkostning og har på den baggrund medtaget selskabets budgett</w:t>
      </w:r>
      <w:r>
        <w:t>e</w:t>
      </w:r>
      <w:r>
        <w:t>rede omkostninger i denne forbindelse som 1:1 omkostninger.</w:t>
      </w:r>
    </w:p>
    <w:p w:rsidR="00DE352C" w:rsidP="0073621A" w:rsidRDefault="00DE352C">
      <w:pPr>
        <w:jc w:val="both"/>
      </w:pPr>
    </w:p>
    <w:p w:rsidR="008F1941" w:rsidP="008F1941" w:rsidRDefault="008F1941">
      <w:pPr>
        <w:jc w:val="both"/>
      </w:pPr>
      <w:r>
        <w:t>I høringssvar</w:t>
      </w:r>
      <w:r w:rsidR="00AD4A58">
        <w:t>et af 25. september 2013</w:t>
      </w:r>
      <w:r>
        <w:t xml:space="preserve"> har selskabet oplyst, at SKAT </w:t>
      </w:r>
      <w:r w:rsidR="00AD4A58">
        <w:t>den</w:t>
      </w:r>
      <w:r>
        <w:t xml:space="preserve"> 21. juni 2013 </w:t>
      </w:r>
      <w:r w:rsidR="00AD4A58">
        <w:t xml:space="preserve">har </w:t>
      </w:r>
      <w:r>
        <w:t>truffet afgørelse om forhøjelse af den skattepligtige indkomst for skatteåret 2010. Forhøjelse medfører en samlet skattebet</w:t>
      </w:r>
      <w:r>
        <w:t>a</w:t>
      </w:r>
      <w:r>
        <w:t xml:space="preserve">ling for </w:t>
      </w:r>
      <w:r w:rsidR="00AD4A58">
        <w:t>selskabet</w:t>
      </w:r>
      <w:r>
        <w:t xml:space="preserve"> på 4.264.848 kr. for 2010.</w:t>
      </w:r>
    </w:p>
    <w:p w:rsidR="008F1941" w:rsidP="008F1941" w:rsidRDefault="008F1941">
      <w:pPr>
        <w:jc w:val="both"/>
      </w:pPr>
    </w:p>
    <w:p w:rsidR="008F1941" w:rsidP="008F1941" w:rsidRDefault="008F1941">
      <w:pPr>
        <w:jc w:val="both"/>
      </w:pPr>
      <w:r>
        <w:t>Forhøjelsen skyldes, at SKAT anser selskabets skattemæssige indgang</w:t>
      </w:r>
      <w:r>
        <w:t>s</w:t>
      </w:r>
      <w:r>
        <w:t>værdier i forbindelse med omdannelsen til selskab i 2009, som meget l</w:t>
      </w:r>
      <w:r>
        <w:t>a</w:t>
      </w:r>
      <w:r>
        <w:t>vere end de anvendte værdier ved omdannelsen. Dette medfører, at de skattemæssige afskrivninger bliver langt lavere end de regnskabsmæss</w:t>
      </w:r>
      <w:r>
        <w:t>i</w:t>
      </w:r>
      <w:r>
        <w:t>ge og regulatoriske afskrivninger. Da selskabet har fastsat taksterne sål</w:t>
      </w:r>
      <w:r>
        <w:t>e</w:t>
      </w:r>
      <w:r>
        <w:t>des</w:t>
      </w:r>
      <w:r w:rsidR="00AD4A58">
        <w:t>,</w:t>
      </w:r>
      <w:r>
        <w:t xml:space="preserve"> at disse modsvarer den faktiske nedslidning af anlæggene (altså P</w:t>
      </w:r>
      <w:r w:rsidR="00AD4A58">
        <w:t>OLKA</w:t>
      </w:r>
      <w:r>
        <w:t xml:space="preserve"> afskrivningerne) medfører dette, at selskabet i en længere å</w:t>
      </w:r>
      <w:r>
        <w:t>r</w:t>
      </w:r>
      <w:r>
        <w:t>række vil have en væsentlig skattepligtig indkomst.</w:t>
      </w:r>
    </w:p>
    <w:p w:rsidR="008F1941" w:rsidP="008F1941" w:rsidRDefault="008F1941">
      <w:pPr>
        <w:jc w:val="both"/>
      </w:pPr>
    </w:p>
    <w:p w:rsidR="008F1941" w:rsidP="008F1941" w:rsidRDefault="00AD4A58">
      <w:pPr>
        <w:jc w:val="both"/>
      </w:pPr>
      <w:r>
        <w:t xml:space="preserve">Selskabet </w:t>
      </w:r>
      <w:r w:rsidR="008F1941">
        <w:t>er principielt uenig med den af SKAT trufne afgørelse, og har påklaget denne</w:t>
      </w:r>
      <w:r>
        <w:t>. Da sagen er principiel</w:t>
      </w:r>
      <w:r w:rsidR="008F1941">
        <w:t xml:space="preserve"> og vedrør</w:t>
      </w:r>
      <w:r w:rsidR="00492B29">
        <w:t>er</w:t>
      </w:r>
      <w:r w:rsidR="008F1941">
        <w:t xml:space="preserve"> skattebetaling for den samlede vandsektor, vil det formodentlig vare 8-10 år før der træffes en endelig afgørelse</w:t>
      </w:r>
      <w:r w:rsidR="00492B29">
        <w:t xml:space="preserve"> i sagen</w:t>
      </w:r>
      <w:r w:rsidR="008F1941">
        <w:t>.</w:t>
      </w:r>
    </w:p>
    <w:p w:rsidR="008F1941" w:rsidP="0073621A" w:rsidRDefault="008F1941">
      <w:pPr>
        <w:jc w:val="both"/>
      </w:pPr>
    </w:p>
    <w:p w:rsidR="008F1941" w:rsidP="0073621A" w:rsidRDefault="00AD4A58">
      <w:pPr>
        <w:jc w:val="both"/>
      </w:pPr>
      <w:r>
        <w:t xml:space="preserve">Selskabet </w:t>
      </w:r>
      <w:r w:rsidR="008F1941">
        <w:t>har derfor</w:t>
      </w:r>
      <w:r w:rsidRPr="008F1941" w:rsidR="008F1941">
        <w:t xml:space="preserve"> anmode</w:t>
      </w:r>
      <w:r w:rsidR="008F1941">
        <w:t>t</w:t>
      </w:r>
      <w:r w:rsidRPr="008F1941" w:rsidR="008F1941">
        <w:t xml:space="preserve"> om</w:t>
      </w:r>
      <w:r w:rsidR="008F1941">
        <w:t>,</w:t>
      </w:r>
      <w:r w:rsidRPr="008F1941" w:rsidR="008F1941">
        <w:t xml:space="preserve"> </w:t>
      </w:r>
      <w:r w:rsidR="008F1941">
        <w:t xml:space="preserve">at </w:t>
      </w:r>
      <w:r w:rsidRPr="008F1941" w:rsidR="008F1941">
        <w:t>skattebetalingen vedrørende 2010 på 4.264.848 kr. medtages som regulering til over- eller underdækningen til og med</w:t>
      </w:r>
      <w:r>
        <w:t xml:space="preserve"> 2010, og indregnes over 3 år. </w:t>
      </w:r>
      <w:r w:rsidRPr="008F1941" w:rsidR="008F1941">
        <w:t>Alternativt</w:t>
      </w:r>
      <w:r>
        <w:t xml:space="preserve"> a</w:t>
      </w:r>
      <w:r w:rsidR="0086051D">
        <w:t>nmoder selskabet om, at skattebe</w:t>
      </w:r>
      <w:r>
        <w:t>t</w:t>
      </w:r>
      <w:r w:rsidR="0086051D">
        <w:t>a</w:t>
      </w:r>
      <w:r>
        <w:t>lingen</w:t>
      </w:r>
      <w:r w:rsidRPr="008F1941" w:rsidR="008F1941">
        <w:t xml:space="preserve"> gives som tillæg til 1:1 o</w:t>
      </w:r>
      <w:r w:rsidR="0086051D">
        <w:t>mkostninger i en periode på 3 år.</w:t>
      </w:r>
      <w:r w:rsidRPr="008F1941" w:rsidR="008F1941">
        <w:t xml:space="preserve"> </w:t>
      </w:r>
      <w:r w:rsidR="0088740F">
        <w:t>Endelig</w:t>
      </w:r>
      <w:r w:rsidRPr="008F1941" w:rsidR="008F1941">
        <w:t xml:space="preserve"> anmoder selskabet om et tillæg til selskabets 1:1 o</w:t>
      </w:r>
      <w:r w:rsidRPr="008F1941" w:rsidR="008F1941">
        <w:t>m</w:t>
      </w:r>
      <w:r w:rsidRPr="008F1941" w:rsidR="008F1941">
        <w:t>kostninger i 2014 vedrørende de forventede skattebetalingerne for 2014 på 7.500.000 kr.</w:t>
      </w:r>
    </w:p>
    <w:p w:rsidR="008F1941" w:rsidP="0073621A" w:rsidRDefault="008F1941">
      <w:pPr>
        <w:jc w:val="both"/>
      </w:pPr>
    </w:p>
    <w:p w:rsidR="00932A53" w:rsidP="0073621A" w:rsidRDefault="00932A53">
      <w:pPr>
        <w:jc w:val="both"/>
      </w:pPr>
      <w:r>
        <w:t xml:space="preserve">I den </w:t>
      </w:r>
      <w:r w:rsidR="0088740F">
        <w:t>forbindelse</w:t>
      </w:r>
      <w:r>
        <w:t xml:space="preserve"> skal Forsyningssekretariatet oplys</w:t>
      </w:r>
      <w:r w:rsidR="0086051D">
        <w:t>e</w:t>
      </w:r>
      <w:r>
        <w:t>, at skattebetaling for 2010 ikke kan give anledning til genoptagelse af beregningen af se</w:t>
      </w:r>
      <w:r>
        <w:t>l</w:t>
      </w:r>
      <w:r>
        <w:t xml:space="preserve">skabets over/underdækning, jf. afsnittet herom nedenfor. </w:t>
      </w:r>
    </w:p>
    <w:p w:rsidR="00932A53" w:rsidP="0073621A" w:rsidRDefault="00932A53">
      <w:pPr>
        <w:jc w:val="both"/>
      </w:pPr>
    </w:p>
    <w:p w:rsidR="00932A53" w:rsidP="0073621A" w:rsidRDefault="00932A53">
      <w:pPr>
        <w:jc w:val="both"/>
      </w:pPr>
      <w:r>
        <w:t xml:space="preserve">Selskabsskat er ifølge prisloftbekendtgørelsens § 3, stk. 4, </w:t>
      </w:r>
      <w:r w:rsidR="0086051D">
        <w:t xml:space="preserve">en </w:t>
      </w:r>
      <w:r>
        <w:t>1:1 o</w:t>
      </w:r>
      <w:r>
        <w:t>m</w:t>
      </w:r>
      <w:r>
        <w:t>kostninger og de af selskabet oplyste beløb kan derfor give et tillæg til prisloftet. På det foreliggende grundlag kan Forsyningssekretariatet de</w:t>
      </w:r>
      <w:r>
        <w:t>r</w:t>
      </w:r>
      <w:r>
        <w:t xml:space="preserve">for give selskabet et tillæg til prisloftet </w:t>
      </w:r>
      <w:r w:rsidR="000A677A">
        <w:t>for</w:t>
      </w:r>
      <w:r>
        <w:t xml:space="preserve"> </w:t>
      </w:r>
      <w:r w:rsidRPr="008F1941">
        <w:t>skattebetalingen vedrørende 2010 på 4.264.848 kr.</w:t>
      </w:r>
      <w:r>
        <w:t xml:space="preserve"> og</w:t>
      </w:r>
      <w:r w:rsidR="000A677A">
        <w:t xml:space="preserve"> for</w:t>
      </w:r>
      <w:r>
        <w:t xml:space="preserve"> </w:t>
      </w:r>
      <w:r w:rsidRPr="008F1941">
        <w:t>de forventede skattebetalingerne for 2014 på 7.500.000 kr.</w:t>
      </w:r>
      <w:r>
        <w:t>, i alt 11.764.848 kr. Der er ikke hjemmel i prisloftb</w:t>
      </w:r>
      <w:r>
        <w:t>e</w:t>
      </w:r>
      <w:r>
        <w:t xml:space="preserve">kendtgørelsen til at fordele </w:t>
      </w:r>
      <w:r w:rsidR="000A677A">
        <w:t>skatte</w:t>
      </w:r>
      <w:r>
        <w:t>betalingen</w:t>
      </w:r>
      <w:r w:rsidR="000A677A">
        <w:t xml:space="preserve"> </w:t>
      </w:r>
      <w:r>
        <w:t>for 2010 over flere år.</w:t>
      </w:r>
    </w:p>
    <w:p w:rsidR="00932A53" w:rsidP="0073621A" w:rsidRDefault="00932A53">
      <w:pPr>
        <w:jc w:val="both"/>
      </w:pPr>
    </w:p>
    <w:p w:rsidR="0073621A" w:rsidP="0073621A" w:rsidRDefault="0073621A">
      <w:pPr>
        <w:jc w:val="both"/>
      </w:pPr>
      <w:r>
        <w:t xml:space="preserve">Det samlede tillæg for 1:1 omkostninger er derfor på </w:t>
      </w:r>
      <w:bookmarkStart w:name="EnTilEnOmk" w:id="15"/>
      <w:r w:rsidR="00932A53">
        <w:t>12.347.848</w:t>
      </w:r>
      <w:bookmarkEnd w:id="15"/>
      <w:r w:rsidR="00546E89">
        <w:t xml:space="preserve"> </w:t>
      </w:r>
      <w:r>
        <w:t>kr.</w:t>
      </w:r>
    </w:p>
    <w:p w:rsidR="00F47154" w:rsidP="00F47154" w:rsidRDefault="00F47154">
      <w:pPr>
        <w:jc w:val="both"/>
        <w:rPr>
          <w:b/>
          <w:szCs w:val="24"/>
        </w:rPr>
      </w:pPr>
      <w:r w:rsidRPr="00075DCF">
        <w:rPr>
          <w:b/>
          <w:szCs w:val="24"/>
        </w:rPr>
        <w:lastRenderedPageBreak/>
        <w:t>T</w:t>
      </w:r>
      <w:r>
        <w:rPr>
          <w:b/>
          <w:szCs w:val="24"/>
        </w:rPr>
        <w:t>illæg for nødvendige udgifter til revisorerklæringer samt ordinært medlemskab af DANVA og FVD</w:t>
      </w:r>
    </w:p>
    <w:p w:rsidR="00F47154" w:rsidP="00F47154" w:rsidRDefault="00F47154">
      <w:pPr>
        <w:jc w:val="both"/>
      </w:pPr>
      <w:r>
        <w:t>Vandselskaberne kan få indregnet nødvendige udgifter til revisorerkl</w:t>
      </w:r>
      <w:r>
        <w:t>æ</w:t>
      </w:r>
      <w:r>
        <w:t>ringer ved indberetning til Forsyningssekretariatet samt betalinger for ordinært medlemskab i DANVA og FVD, på samme måde som 1:1 o</w:t>
      </w:r>
      <w:r>
        <w:t>m</w:t>
      </w:r>
      <w:r>
        <w:t xml:space="preserve">kostninger, jf. prisloftbekendtgørelsens § 3, stk. 4, sidste pkt. </w:t>
      </w:r>
    </w:p>
    <w:p w:rsidR="00F47154" w:rsidP="00F47154" w:rsidRDefault="00F47154">
      <w:pPr>
        <w:jc w:val="both"/>
      </w:pPr>
    </w:p>
    <w:p w:rsidR="00F47154" w:rsidP="00F47154" w:rsidRDefault="00F47154">
      <w:pPr>
        <w:jc w:val="both"/>
      </w:pPr>
      <w:r>
        <w:t>Selskabet har indberettet følgende omkostninger:</w:t>
      </w:r>
    </w:p>
    <w:p w:rsidR="00F47154" w:rsidP="00F47154" w:rsidRDefault="00F47154">
      <w:pPr>
        <w:jc w:val="both"/>
      </w:pPr>
    </w:p>
    <w:p w:rsidR="00DE352C" w:rsidP="00DE352C" w:rsidRDefault="00DE352C">
      <w:pPr>
        <w:numPr>
          <w:ilvl w:val="0"/>
          <w:numId w:val="7"/>
        </w:numPr>
        <w:jc w:val="both"/>
      </w:pPr>
      <w:r>
        <w:t>Betaling for ordinært medlemskab af DANVA: 150.000 kr.</w:t>
      </w:r>
    </w:p>
    <w:p w:rsidRPr="00C555B5" w:rsidR="00DE352C" w:rsidP="00DE352C" w:rsidRDefault="00DE352C">
      <w:pPr>
        <w:numPr>
          <w:ilvl w:val="0"/>
          <w:numId w:val="7"/>
        </w:numPr>
        <w:jc w:val="both"/>
      </w:pPr>
      <w:r w:rsidRPr="00C555B5">
        <w:t>Betaling for revisorerklæringer:</w:t>
      </w:r>
      <w:r>
        <w:t xml:space="preserve"> 45.000 kr.</w:t>
      </w:r>
    </w:p>
    <w:p w:rsidR="00DE352C" w:rsidP="00DE352C" w:rsidRDefault="00DE352C">
      <w:pPr>
        <w:jc w:val="both"/>
      </w:pPr>
    </w:p>
    <w:p w:rsidR="00F47154" w:rsidP="00F47154" w:rsidRDefault="00F47154">
      <w:pPr>
        <w:jc w:val="both"/>
      </w:pPr>
      <w:r>
        <w:t xml:space="preserve">Det samlede tillæg for disse omkostninger er derfor på </w:t>
      </w:r>
      <w:bookmarkStart w:name="RevDanvaFvd" w:id="16"/>
      <w:r w:rsidRPr="00DE352C" w:rsidR="00DE352C">
        <w:t>195.000</w:t>
      </w:r>
      <w:bookmarkEnd w:id="16"/>
      <w:r>
        <w:t xml:space="preserve"> kr.</w:t>
      </w:r>
    </w:p>
    <w:p w:rsidR="00F47154" w:rsidP="00F47154" w:rsidRDefault="00F47154">
      <w:pPr>
        <w:rPr>
          <w:szCs w:val="24"/>
        </w:rPr>
      </w:pPr>
    </w:p>
    <w:p w:rsidRPr="001F00F2" w:rsidR="00F47154" w:rsidP="00F47154" w:rsidRDefault="00F47154">
      <w:pPr>
        <w:rPr>
          <w:b/>
          <w:szCs w:val="24"/>
        </w:rPr>
      </w:pPr>
      <w:r>
        <w:rPr>
          <w:b/>
          <w:szCs w:val="24"/>
        </w:rPr>
        <w:t xml:space="preserve">Korrektion ift. faktiske </w:t>
      </w:r>
      <w:r w:rsidRPr="001F00F2">
        <w:rPr>
          <w:b/>
          <w:szCs w:val="24"/>
        </w:rPr>
        <w:t>1:1 omkostninger</w:t>
      </w:r>
      <w:r>
        <w:rPr>
          <w:b/>
          <w:szCs w:val="24"/>
        </w:rPr>
        <w:t xml:space="preserve"> i 2012</w:t>
      </w:r>
      <w:r w:rsidRPr="001F00F2">
        <w:rPr>
          <w:b/>
          <w:szCs w:val="24"/>
        </w:rPr>
        <w:t xml:space="preserve"> </w:t>
      </w:r>
    </w:p>
    <w:p w:rsidRPr="00965142" w:rsidR="00F47154" w:rsidP="00F47154" w:rsidRDefault="00F47154">
      <w:pPr>
        <w:autoSpaceDE w:val="0"/>
        <w:autoSpaceDN w:val="0"/>
        <w:adjustRightInd w:val="0"/>
        <w:jc w:val="both"/>
      </w:pPr>
      <w:r w:rsidRPr="00965142">
        <w:t>Forsyningssekretariatet foretager årligt en engangsregulering for forske</w:t>
      </w:r>
      <w:r w:rsidRPr="00965142">
        <w:t>l</w:t>
      </w:r>
      <w:r w:rsidRPr="00965142">
        <w:t xml:space="preserve">le mellem tidligere indregnede </w:t>
      </w:r>
      <w:r>
        <w:t>forventede</w:t>
      </w:r>
      <w:r w:rsidRPr="00965142">
        <w:t xml:space="preserve"> </w:t>
      </w:r>
      <w:r w:rsidRPr="00703DB0">
        <w:t>1:1 omkostninger</w:t>
      </w:r>
      <w:r w:rsidRPr="00965142">
        <w:t xml:space="preserve"> og faktiske beløb </w:t>
      </w:r>
      <w:r w:rsidRPr="00703DB0">
        <w:t xml:space="preserve">i henhold til reguleringsregnskabet for prisloftsåret </w:t>
      </w:r>
      <w:r w:rsidRPr="00965142">
        <w:t>for det år, der ligger to år forud for prisloftåret, jf. prisloftbekendtgørelsens § 5, s</w:t>
      </w:r>
      <w:r>
        <w:t>tk. 2</w:t>
      </w:r>
      <w:r w:rsidRPr="00965142">
        <w:t xml:space="preserve">. </w:t>
      </w:r>
    </w:p>
    <w:p w:rsidRPr="00965142" w:rsidR="00F47154" w:rsidP="00F47154" w:rsidRDefault="00F47154">
      <w:pPr>
        <w:tabs>
          <w:tab w:val="left" w:pos="2467"/>
        </w:tabs>
        <w:autoSpaceDE w:val="0"/>
        <w:autoSpaceDN w:val="0"/>
        <w:adjustRightInd w:val="0"/>
        <w:jc w:val="both"/>
      </w:pPr>
      <w:r>
        <w:tab/>
      </w:r>
    </w:p>
    <w:p w:rsidRPr="00965142" w:rsidR="00DE352C" w:rsidP="00DE352C" w:rsidRDefault="00DE352C">
      <w:pPr>
        <w:autoSpaceDE w:val="0"/>
        <w:autoSpaceDN w:val="0"/>
        <w:adjustRightInd w:val="0"/>
        <w:jc w:val="both"/>
      </w:pPr>
      <w:r w:rsidRPr="00965142">
        <w:t>Det vil sige, at de</w:t>
      </w:r>
      <w:r>
        <w:t>r i selskabets prisloft for 2014</w:t>
      </w:r>
      <w:r w:rsidRPr="00965142">
        <w:t xml:space="preserve"> foretages en korrektion for forskellen mellem selskabets budgetterede </w:t>
      </w:r>
      <w:r>
        <w:t>1:1 omkost</w:t>
      </w:r>
      <w:r w:rsidRPr="00965142">
        <w:t xml:space="preserve">ninger </w:t>
      </w:r>
      <w:r>
        <w:t>i 2012</w:t>
      </w:r>
      <w:r w:rsidRPr="00965142">
        <w:t xml:space="preserve">, som blev anvendt ved fastsættelsen af tillægget for </w:t>
      </w:r>
      <w:r>
        <w:t>1:1 omkostn</w:t>
      </w:r>
      <w:r w:rsidRPr="00965142">
        <w:t xml:space="preserve">inger i </w:t>
      </w:r>
      <w:r>
        <w:t>det korrigerede prisloft</w:t>
      </w:r>
      <w:r w:rsidRPr="00965142">
        <w:t xml:space="preserve"> for 201</w:t>
      </w:r>
      <w:r>
        <w:t>2</w:t>
      </w:r>
      <w:r w:rsidRPr="00965142">
        <w:t xml:space="preserve">, og selskabets faktiske </w:t>
      </w:r>
      <w:r>
        <w:t>1:1 omkost</w:t>
      </w:r>
      <w:r w:rsidRPr="00965142">
        <w:t>ninger i 201</w:t>
      </w:r>
      <w:r>
        <w:t>2</w:t>
      </w:r>
      <w:r w:rsidRPr="00965142">
        <w:t xml:space="preserve">, som fremgår af selskabets </w:t>
      </w:r>
      <w:r>
        <w:t>regulerings</w:t>
      </w:r>
      <w:r w:rsidRPr="00965142">
        <w:t>regnskab for 201</w:t>
      </w:r>
      <w:r>
        <w:t>2</w:t>
      </w:r>
      <w:r w:rsidRPr="00965142">
        <w:t xml:space="preserve">. </w:t>
      </w:r>
    </w:p>
    <w:p w:rsidR="00DE352C" w:rsidP="00DE352C" w:rsidRDefault="00DE352C">
      <w:pPr>
        <w:autoSpaceDE w:val="0"/>
        <w:autoSpaceDN w:val="0"/>
        <w:adjustRightInd w:val="0"/>
        <w:jc w:val="both"/>
      </w:pPr>
    </w:p>
    <w:p w:rsidR="0073621A" w:rsidP="00DE352C" w:rsidRDefault="00DE352C">
      <w:pPr>
        <w:autoSpaceDE w:val="0"/>
        <w:autoSpaceDN w:val="0"/>
        <w:adjustRightInd w:val="0"/>
        <w:jc w:val="both"/>
      </w:pPr>
      <w:r w:rsidRPr="00965142">
        <w:t xml:space="preserve">Det fremgår </w:t>
      </w:r>
      <w:r>
        <w:t>af reguleringsregnskabet,</w:t>
      </w:r>
      <w:r w:rsidRPr="00965142">
        <w:t xml:space="preserve"> at selskabets</w:t>
      </w:r>
      <w:r>
        <w:t xml:space="preserve"> 1:1 omkost</w:t>
      </w:r>
      <w:r w:rsidRPr="00965142">
        <w:t>ninger i 201</w:t>
      </w:r>
      <w:r>
        <w:t>2</w:t>
      </w:r>
      <w:r w:rsidRPr="00965142">
        <w:t xml:space="preserve"> </w:t>
      </w:r>
      <w:r>
        <w:t>va</w:t>
      </w:r>
      <w:r w:rsidRPr="00965142">
        <w:t xml:space="preserve">r på </w:t>
      </w:r>
      <w:r w:rsidRPr="000545B2">
        <w:t>744.715</w:t>
      </w:r>
      <w:r>
        <w:t xml:space="preserve"> </w:t>
      </w:r>
      <w:r w:rsidRPr="00965142">
        <w:t xml:space="preserve">kr. Selskabet fik i </w:t>
      </w:r>
      <w:r>
        <w:t xml:space="preserve">det korrigerede </w:t>
      </w:r>
      <w:r w:rsidRPr="00965142">
        <w:t>prisloft for 201</w:t>
      </w:r>
      <w:r>
        <w:t>2</w:t>
      </w:r>
      <w:r w:rsidRPr="00965142">
        <w:t xml:space="preserve"> tillæg for </w:t>
      </w:r>
      <w:r>
        <w:t xml:space="preserve">budgetterede 1:1 omkostninger </w:t>
      </w:r>
      <w:r w:rsidRPr="00965142">
        <w:t xml:space="preserve">på i alt </w:t>
      </w:r>
      <w:r w:rsidRPr="000545B2">
        <w:t>867.105</w:t>
      </w:r>
      <w:r>
        <w:t xml:space="preserve"> </w:t>
      </w:r>
      <w:r w:rsidRPr="00965142">
        <w:t xml:space="preserve">kr. </w:t>
      </w:r>
      <w:r w:rsidRPr="00965142" w:rsidR="00F47154">
        <w:t>Korrekti</w:t>
      </w:r>
      <w:r w:rsidRPr="00965142" w:rsidR="00F47154">
        <w:t>o</w:t>
      </w:r>
      <w:r w:rsidRPr="00965142" w:rsidR="00F47154">
        <w:t>nen i prislof</w:t>
      </w:r>
      <w:r w:rsidR="00F47154">
        <w:t>tet for 2014</w:t>
      </w:r>
      <w:r w:rsidRPr="00965142" w:rsidR="00F47154">
        <w:t xml:space="preserve"> bliver således </w:t>
      </w:r>
      <w:bookmarkStart w:name="KorrEnTilEn" w:id="17"/>
      <w:r w:rsidRPr="00DE352C">
        <w:t>-122.390</w:t>
      </w:r>
      <w:bookmarkEnd w:id="17"/>
      <w:r w:rsidR="00F47154">
        <w:t xml:space="preserve"> </w:t>
      </w:r>
      <w:r w:rsidRPr="00965142" w:rsidR="00F47154">
        <w:t xml:space="preserve">kr. </w:t>
      </w:r>
      <w:r w:rsidRPr="00DE352C">
        <w:t>(744.715 kr. – 867.105 kr.)</w:t>
      </w:r>
      <w:r>
        <w:t>.</w:t>
      </w:r>
    </w:p>
    <w:p w:rsidR="00DE352C" w:rsidP="00DE352C" w:rsidRDefault="00DE352C">
      <w:pPr>
        <w:autoSpaceDE w:val="0"/>
        <w:autoSpaceDN w:val="0"/>
        <w:adjustRightInd w:val="0"/>
        <w:jc w:val="both"/>
        <w:rPr>
          <w:szCs w:val="24"/>
        </w:rPr>
      </w:pPr>
    </w:p>
    <w:p w:rsidRPr="001F00F2" w:rsidR="00A61766" w:rsidP="00A61766" w:rsidRDefault="00A61766">
      <w:pPr>
        <w:rPr>
          <w:b/>
          <w:szCs w:val="24"/>
        </w:rPr>
      </w:pPr>
      <w:r w:rsidRPr="00427DE9">
        <w:rPr>
          <w:b/>
          <w:szCs w:val="24"/>
        </w:rPr>
        <w:t xml:space="preserve">Tillæg for driftsomkostninger til miljø- og servicemål i 2014 </w:t>
      </w:r>
    </w:p>
    <w:p w:rsidR="00A61766" w:rsidP="00A61766" w:rsidRDefault="00A61766">
      <w:pPr>
        <w:jc w:val="both"/>
        <w:rPr>
          <w:szCs w:val="24"/>
        </w:rPr>
      </w:pPr>
      <w:r w:rsidRPr="00BA2075">
        <w:rPr>
          <w:szCs w:val="24"/>
        </w:rPr>
        <w:t>Forsyningssekretariatet fastsætter tillæg for driftsomkostninger til nye miljø- og servicemål på baggrund af de budgettal, som vandselskaberne har indberettet, og den dokumentation, som vandselskaberne har fre</w:t>
      </w:r>
      <w:r w:rsidRPr="00BA2075">
        <w:rPr>
          <w:szCs w:val="24"/>
        </w:rPr>
        <w:t>m</w:t>
      </w:r>
      <w:r w:rsidRPr="00BA2075">
        <w:rPr>
          <w:szCs w:val="24"/>
        </w:rPr>
        <w:t>sendt.</w:t>
      </w:r>
    </w:p>
    <w:p w:rsidRPr="00BA2075" w:rsidR="00A61766" w:rsidP="00A61766" w:rsidRDefault="00A61766">
      <w:pPr>
        <w:jc w:val="both"/>
        <w:rPr>
          <w:szCs w:val="24"/>
        </w:rPr>
      </w:pPr>
    </w:p>
    <w:p w:rsidR="00A61766" w:rsidP="00A61766" w:rsidRDefault="00A61766">
      <w:pPr>
        <w:jc w:val="both"/>
        <w:rPr>
          <w:szCs w:val="24"/>
        </w:rPr>
      </w:pPr>
      <w:r w:rsidRPr="00BA2075">
        <w:rPr>
          <w:szCs w:val="24"/>
        </w:rPr>
        <w:t>De nærmere betingelser herfor er fastsat i bekendtgørelsen om driftso</w:t>
      </w:r>
      <w:r w:rsidRPr="00BA2075">
        <w:rPr>
          <w:szCs w:val="24"/>
        </w:rPr>
        <w:t>m</w:t>
      </w:r>
      <w:r w:rsidRPr="00BA2075">
        <w:rPr>
          <w:szCs w:val="24"/>
        </w:rPr>
        <w:t>kostninger til gennemførelse af miljømål og servicemål (nr. 1048 af 13. november 2012), som også definerer, hvad der forstås ved miljø- og se</w:t>
      </w:r>
      <w:r w:rsidRPr="00BA2075">
        <w:rPr>
          <w:szCs w:val="24"/>
        </w:rPr>
        <w:t>r</w:t>
      </w:r>
      <w:r w:rsidRPr="00BA2075">
        <w:rPr>
          <w:szCs w:val="24"/>
        </w:rPr>
        <w:t>vicemål.</w:t>
      </w:r>
    </w:p>
    <w:p w:rsidRPr="00BA2075" w:rsidR="00A61766" w:rsidP="00A61766" w:rsidRDefault="00A61766">
      <w:pPr>
        <w:jc w:val="both"/>
        <w:rPr>
          <w:szCs w:val="24"/>
        </w:rPr>
      </w:pPr>
    </w:p>
    <w:p w:rsidR="00A61766" w:rsidP="00A61766" w:rsidRDefault="00A61766">
      <w:pPr>
        <w:jc w:val="both"/>
        <w:rPr>
          <w:szCs w:val="24"/>
        </w:rPr>
      </w:pPr>
      <w:r w:rsidRPr="00BA2075">
        <w:rPr>
          <w:i/>
          <w:szCs w:val="24"/>
        </w:rPr>
        <w:t>Miljømål</w:t>
      </w:r>
      <w:r w:rsidRPr="00BA2075">
        <w:rPr>
          <w:szCs w:val="24"/>
        </w:rPr>
        <w:t xml:space="preserve"> er ifølge bekendtgørelsen mål, der opnås ved gennemførelse af </w:t>
      </w:r>
      <w:r w:rsidRPr="00BA2075">
        <w:rPr>
          <w:i/>
          <w:szCs w:val="24"/>
        </w:rPr>
        <w:t>særlige aktiviteter</w:t>
      </w:r>
      <w:r w:rsidRPr="00BA2075">
        <w:rPr>
          <w:szCs w:val="24"/>
        </w:rPr>
        <w:t xml:space="preserve"> til gavn for sundhed og miljø, herunder mål fastsat med henblik på tilpasning til klimaændringer. De sundhedsmæssige he</w:t>
      </w:r>
      <w:r w:rsidRPr="00BA2075">
        <w:rPr>
          <w:szCs w:val="24"/>
        </w:rPr>
        <w:t>n</w:t>
      </w:r>
      <w:r w:rsidRPr="00BA2075">
        <w:rPr>
          <w:szCs w:val="24"/>
        </w:rPr>
        <w:t>syn omfatter alene hensyn</w:t>
      </w:r>
      <w:r w:rsidR="00650DD2">
        <w:rPr>
          <w:szCs w:val="24"/>
        </w:rPr>
        <w:t>,</w:t>
      </w:r>
      <w:r w:rsidRPr="00BA2075">
        <w:rPr>
          <w:szCs w:val="24"/>
        </w:rPr>
        <w:t xml:space="preserve"> som kan relateres til drikkevand eller spild</w:t>
      </w:r>
      <w:r w:rsidRPr="00BA2075">
        <w:rPr>
          <w:szCs w:val="24"/>
        </w:rPr>
        <w:t>e</w:t>
      </w:r>
      <w:r w:rsidRPr="00BA2075">
        <w:rPr>
          <w:szCs w:val="24"/>
        </w:rPr>
        <w:t>vand. Der skal således ikke forstås sundhedsmæssige hensyn i al almi</w:t>
      </w:r>
      <w:r w:rsidRPr="00BA2075">
        <w:rPr>
          <w:szCs w:val="24"/>
        </w:rPr>
        <w:t>n</w:t>
      </w:r>
      <w:r w:rsidRPr="00BA2075">
        <w:rPr>
          <w:szCs w:val="24"/>
        </w:rPr>
        <w:lastRenderedPageBreak/>
        <w:t xml:space="preserve">delighed. Med de miljømæssige hensyn tænkes kun på mål og aktiviteter, der har gavnlige effekter på det omgivne miljø.  </w:t>
      </w:r>
    </w:p>
    <w:p w:rsidRPr="00BA2075" w:rsidR="00A61766" w:rsidP="00A61766" w:rsidRDefault="00A61766">
      <w:pPr>
        <w:jc w:val="both"/>
        <w:rPr>
          <w:szCs w:val="24"/>
        </w:rPr>
      </w:pPr>
    </w:p>
    <w:p w:rsidR="00A61766" w:rsidP="00A61766" w:rsidRDefault="00A61766">
      <w:pPr>
        <w:jc w:val="both"/>
        <w:rPr>
          <w:szCs w:val="24"/>
        </w:rPr>
      </w:pPr>
      <w:r w:rsidRPr="00BA2075">
        <w:rPr>
          <w:i/>
          <w:szCs w:val="24"/>
        </w:rPr>
        <w:t>Servicemål</w:t>
      </w:r>
      <w:r w:rsidRPr="00BA2075">
        <w:rPr>
          <w:szCs w:val="24"/>
        </w:rPr>
        <w:t xml:space="preserve"> er ifølge bekendtgørelsen mål, der opnås ved gennemførelse af </w:t>
      </w:r>
      <w:r w:rsidRPr="00BA2075">
        <w:rPr>
          <w:i/>
          <w:szCs w:val="24"/>
        </w:rPr>
        <w:t>særlige aktiviteter</w:t>
      </w:r>
      <w:r w:rsidRPr="00BA2075">
        <w:rPr>
          <w:szCs w:val="24"/>
        </w:rPr>
        <w:t>, som giver en udvidet service for den enkelte fo</w:t>
      </w:r>
      <w:r w:rsidRPr="00BA2075">
        <w:rPr>
          <w:szCs w:val="24"/>
        </w:rPr>
        <w:t>r</w:t>
      </w:r>
      <w:r w:rsidRPr="00BA2075">
        <w:rPr>
          <w:szCs w:val="24"/>
        </w:rPr>
        <w:t>bruger eller medfører en samfundsmæssig gevinst. Et servicemål kan s</w:t>
      </w:r>
      <w:r w:rsidRPr="00BA2075">
        <w:rPr>
          <w:szCs w:val="24"/>
        </w:rPr>
        <w:t>å</w:t>
      </w:r>
      <w:r w:rsidRPr="00BA2075">
        <w:rPr>
          <w:szCs w:val="24"/>
        </w:rPr>
        <w:t xml:space="preserve">ledes bestå i en forbedring af servicen over for selskabets forbrugere i deres egenskab af at være aftagere af selskabets tjenester og produkter. Om et servicemål medfører en udvidet service for selskabets kunder, skal vurderes ud fra det serviceniveau, som er fastlagt af kommunen eller af det enkelte vandselskab. Et servicemål kan derudover også indebære en samfundsmæssig gevinst. Begrebet </w:t>
      </w:r>
      <w:r w:rsidRPr="00BA2075">
        <w:rPr>
          <w:i/>
          <w:szCs w:val="24"/>
        </w:rPr>
        <w:t>samfundsmæssig gevinst</w:t>
      </w:r>
      <w:r w:rsidRPr="00BA2075">
        <w:rPr>
          <w:szCs w:val="24"/>
        </w:rPr>
        <w:t xml:space="preserve"> skal forstås snævert, således at der skal være tale om en gevinst i relation til det at drive et vandselskab eller spildevandsselskab. </w:t>
      </w:r>
    </w:p>
    <w:p w:rsidRPr="00BA2075" w:rsidR="00A61766" w:rsidP="00A61766" w:rsidRDefault="00A61766">
      <w:pPr>
        <w:jc w:val="both"/>
        <w:rPr>
          <w:szCs w:val="24"/>
        </w:rPr>
      </w:pPr>
    </w:p>
    <w:p w:rsidR="00A61766" w:rsidP="00A61766" w:rsidRDefault="00A61766">
      <w:pPr>
        <w:jc w:val="both"/>
        <w:rPr>
          <w:szCs w:val="24"/>
        </w:rPr>
      </w:pPr>
      <w:r w:rsidRPr="00BA2075">
        <w:rPr>
          <w:szCs w:val="24"/>
        </w:rPr>
        <w:t>Der kan således alene indregnes tillæg til prisloftet for driftsomkostni</w:t>
      </w:r>
      <w:r w:rsidRPr="00BA2075">
        <w:rPr>
          <w:szCs w:val="24"/>
        </w:rPr>
        <w:t>n</w:t>
      </w:r>
      <w:r w:rsidRPr="00BA2075">
        <w:rPr>
          <w:szCs w:val="24"/>
        </w:rPr>
        <w:t>ger til miljø- og servicemål, som opnås ved gennemførelse af særlige a</w:t>
      </w:r>
      <w:r w:rsidRPr="00BA2075">
        <w:rPr>
          <w:szCs w:val="24"/>
        </w:rPr>
        <w:t>k</w:t>
      </w:r>
      <w:r w:rsidRPr="00BA2075">
        <w:rPr>
          <w:szCs w:val="24"/>
        </w:rPr>
        <w:t>tiviteter. Der skal derfor være tale om aktiviteter, der går ud over selsk</w:t>
      </w:r>
      <w:r w:rsidRPr="00BA2075">
        <w:rPr>
          <w:szCs w:val="24"/>
        </w:rPr>
        <w:t>a</w:t>
      </w:r>
      <w:r w:rsidRPr="00BA2075">
        <w:rPr>
          <w:szCs w:val="24"/>
        </w:rPr>
        <w:t>bets almindelige driftsopgaver og således ikke er et led i opretholdelsen af den eksisterende forsyningssikkerhed eller en stabil drift af selskabets primære aktiviteter. Aktiviteterne skal dog kunne rummes inden for def</w:t>
      </w:r>
      <w:r w:rsidRPr="00BA2075">
        <w:rPr>
          <w:szCs w:val="24"/>
        </w:rPr>
        <w:t>i</w:t>
      </w:r>
      <w:r w:rsidRPr="00BA2075">
        <w:rPr>
          <w:szCs w:val="24"/>
        </w:rPr>
        <w:t>nitionen af selskabets primære aktiviteter. Målet og de tilsigtede fora</w:t>
      </w:r>
      <w:r w:rsidRPr="00BA2075">
        <w:rPr>
          <w:szCs w:val="24"/>
        </w:rPr>
        <w:t>n</w:t>
      </w:r>
      <w:r w:rsidRPr="00BA2075">
        <w:rPr>
          <w:szCs w:val="24"/>
        </w:rPr>
        <w:t xml:space="preserve">staltninger skal </w:t>
      </w:r>
      <w:r w:rsidR="00650DD2">
        <w:rPr>
          <w:szCs w:val="24"/>
        </w:rPr>
        <w:t xml:space="preserve">endvidere </w:t>
      </w:r>
      <w:r w:rsidRPr="00BA2075">
        <w:rPr>
          <w:szCs w:val="24"/>
        </w:rPr>
        <w:t>være konkret formuleret.</w:t>
      </w:r>
    </w:p>
    <w:p w:rsidRPr="00BA2075" w:rsidR="00A61766" w:rsidP="00A61766" w:rsidRDefault="00A61766">
      <w:pPr>
        <w:jc w:val="both"/>
        <w:rPr>
          <w:szCs w:val="24"/>
        </w:rPr>
      </w:pPr>
    </w:p>
    <w:p w:rsidR="00A61766" w:rsidP="00A61766" w:rsidRDefault="00A61766">
      <w:pPr>
        <w:jc w:val="both"/>
        <w:rPr>
          <w:szCs w:val="24"/>
        </w:rPr>
      </w:pPr>
      <w:r w:rsidRPr="00BA2075">
        <w:rPr>
          <w:szCs w:val="24"/>
        </w:rPr>
        <w:t>En grundlæggende betingelse for tillæg til prisloftet for driftsomkostni</w:t>
      </w:r>
      <w:r w:rsidRPr="00BA2075">
        <w:rPr>
          <w:szCs w:val="24"/>
        </w:rPr>
        <w:t>n</w:t>
      </w:r>
      <w:r w:rsidRPr="00BA2075">
        <w:rPr>
          <w:szCs w:val="24"/>
        </w:rPr>
        <w:t xml:space="preserve">ger til miljø- og servicemål er, at der skal være tale om et </w:t>
      </w:r>
      <w:r w:rsidRPr="00BA2075">
        <w:rPr>
          <w:i/>
          <w:szCs w:val="24"/>
        </w:rPr>
        <w:t>nyt eller forn</w:t>
      </w:r>
      <w:r w:rsidRPr="00BA2075">
        <w:rPr>
          <w:i/>
          <w:szCs w:val="24"/>
        </w:rPr>
        <w:t>y</w:t>
      </w:r>
      <w:r w:rsidRPr="00BA2075">
        <w:rPr>
          <w:i/>
          <w:szCs w:val="24"/>
        </w:rPr>
        <w:t>et mål</w:t>
      </w:r>
      <w:r w:rsidRPr="00BA2075">
        <w:rPr>
          <w:szCs w:val="24"/>
        </w:rPr>
        <w:t>. Selskabet kan således kun opnå tillæg til prisloftet, hvis målet er nyt i forhold til de mål, der var gældende for selskabet i basisperioden 2003-2005, og besluttet efter 1. januar 2006, eller såfremt det er besluttet at forny et allerede eksisterende mål, som selskabet havde driftsomkos</w:t>
      </w:r>
      <w:r w:rsidRPr="00BA2075">
        <w:rPr>
          <w:szCs w:val="24"/>
        </w:rPr>
        <w:t>t</w:t>
      </w:r>
      <w:r w:rsidRPr="00BA2075">
        <w:rPr>
          <w:szCs w:val="24"/>
        </w:rPr>
        <w:t xml:space="preserve">ninger til i basisperioden. </w:t>
      </w:r>
    </w:p>
    <w:p w:rsidRPr="00BA2075" w:rsidR="00A61766" w:rsidP="00A61766" w:rsidRDefault="00A61766">
      <w:pPr>
        <w:jc w:val="both"/>
        <w:rPr>
          <w:b/>
          <w:szCs w:val="24"/>
        </w:rPr>
      </w:pPr>
    </w:p>
    <w:p w:rsidR="00A61766" w:rsidP="00A61766" w:rsidRDefault="00A61766">
      <w:pPr>
        <w:jc w:val="both"/>
        <w:rPr>
          <w:szCs w:val="24"/>
        </w:rPr>
      </w:pPr>
      <w:r w:rsidRPr="00BA2075">
        <w:rPr>
          <w:szCs w:val="24"/>
        </w:rPr>
        <w:t>I sidstnævnte tilfælde vil selskabet have haft omkostninger til et eksist</w:t>
      </w:r>
      <w:r w:rsidRPr="00BA2075">
        <w:rPr>
          <w:szCs w:val="24"/>
        </w:rPr>
        <w:t>e</w:t>
      </w:r>
      <w:r w:rsidRPr="00BA2075">
        <w:rPr>
          <w:szCs w:val="24"/>
        </w:rPr>
        <w:t>rende miljø- eller servicemål i basisperioden, og det gælder her, at se</w:t>
      </w:r>
      <w:r w:rsidRPr="00BA2075">
        <w:rPr>
          <w:szCs w:val="24"/>
        </w:rPr>
        <w:t>l</w:t>
      </w:r>
      <w:r w:rsidRPr="00BA2075">
        <w:rPr>
          <w:szCs w:val="24"/>
        </w:rPr>
        <w:t>skabet kan få tillæg til prisloftet, såfremt det besluttes at forny det p</w:t>
      </w:r>
      <w:r w:rsidRPr="00BA2075">
        <w:rPr>
          <w:szCs w:val="24"/>
        </w:rPr>
        <w:t>å</w:t>
      </w:r>
      <w:r w:rsidRPr="00BA2075">
        <w:rPr>
          <w:szCs w:val="24"/>
        </w:rPr>
        <w:t xml:space="preserve">gældende mål – f.eks. til at gælde for et nyt geografisk område. Der kan i så fald kun opnås tillæg til prisloftet for de meromkostninger, som følger af fornyelsen af målet. </w:t>
      </w:r>
    </w:p>
    <w:p w:rsidRPr="00BA2075" w:rsidR="00A61766" w:rsidP="00A61766" w:rsidRDefault="00A61766">
      <w:pPr>
        <w:jc w:val="both"/>
        <w:rPr>
          <w:szCs w:val="24"/>
        </w:rPr>
      </w:pPr>
    </w:p>
    <w:p w:rsidRPr="00BA2075" w:rsidR="00A61766" w:rsidP="00A61766" w:rsidRDefault="00A61766">
      <w:pPr>
        <w:jc w:val="both"/>
        <w:rPr>
          <w:szCs w:val="24"/>
        </w:rPr>
      </w:pPr>
      <w:r w:rsidRPr="00BA2075">
        <w:rPr>
          <w:szCs w:val="24"/>
        </w:rPr>
        <w:t xml:space="preserve">For at der kan gives tillæg til prisloftet for et miljø- eller servicemål, skal målet derudover være </w:t>
      </w:r>
      <w:r w:rsidRPr="00BA2075">
        <w:rPr>
          <w:i/>
          <w:szCs w:val="24"/>
        </w:rPr>
        <w:t>dokumenteret</w:t>
      </w:r>
      <w:r w:rsidRPr="00BA2075">
        <w:rPr>
          <w:szCs w:val="24"/>
        </w:rPr>
        <w:t>. Det vil sige, at selskabet ved indb</w:t>
      </w:r>
      <w:r w:rsidRPr="00BA2075">
        <w:rPr>
          <w:szCs w:val="24"/>
        </w:rPr>
        <w:t>e</w:t>
      </w:r>
      <w:r w:rsidRPr="00BA2075">
        <w:rPr>
          <w:szCs w:val="24"/>
        </w:rPr>
        <w:t>retningen skal have dokumenteret, at målet er besluttet af det organ, der er kompetent i forhold til beslutningen af det pågældende mål. Ifølge b</w:t>
      </w:r>
      <w:r w:rsidRPr="00BA2075">
        <w:rPr>
          <w:szCs w:val="24"/>
        </w:rPr>
        <w:t>e</w:t>
      </w:r>
      <w:r w:rsidRPr="00BA2075">
        <w:rPr>
          <w:szCs w:val="24"/>
        </w:rPr>
        <w:t>kendtgørelsen skal miljømål være besluttet af enten staten eller komm</w:t>
      </w:r>
      <w:r w:rsidRPr="00BA2075">
        <w:rPr>
          <w:szCs w:val="24"/>
        </w:rPr>
        <w:t>u</w:t>
      </w:r>
      <w:r w:rsidRPr="00BA2075">
        <w:rPr>
          <w:szCs w:val="24"/>
        </w:rPr>
        <w:t>nalbestyrelsen, mens servicemål skal være besluttet af enten kommuna</w:t>
      </w:r>
      <w:r w:rsidRPr="00BA2075">
        <w:rPr>
          <w:szCs w:val="24"/>
        </w:rPr>
        <w:t>l</w:t>
      </w:r>
      <w:r w:rsidRPr="00BA2075">
        <w:rPr>
          <w:szCs w:val="24"/>
        </w:rPr>
        <w:t xml:space="preserve">bestyrelsen eller selskabets bestyrelse eller generalforsamling. </w:t>
      </w:r>
    </w:p>
    <w:p w:rsidRPr="00E91844" w:rsidR="00A61766" w:rsidP="00A61766" w:rsidRDefault="00A61766">
      <w:pPr>
        <w:jc w:val="both"/>
        <w:rPr>
          <w:szCs w:val="24"/>
          <w:highlight w:val="cyan"/>
        </w:rPr>
      </w:pPr>
    </w:p>
    <w:p w:rsidR="00A61766" w:rsidP="00A61766" w:rsidRDefault="00A61766">
      <w:pPr>
        <w:jc w:val="both"/>
        <w:rPr>
          <w:szCs w:val="24"/>
        </w:rPr>
      </w:pPr>
      <w:r w:rsidRPr="009661C1">
        <w:rPr>
          <w:szCs w:val="24"/>
        </w:rPr>
        <w:t>Selskabet har indberettet følgende budgetterede driftsomkostninger i 201</w:t>
      </w:r>
      <w:r>
        <w:rPr>
          <w:szCs w:val="24"/>
        </w:rPr>
        <w:t>4</w:t>
      </w:r>
      <w:r w:rsidRPr="009661C1">
        <w:rPr>
          <w:szCs w:val="24"/>
        </w:rPr>
        <w:t xml:space="preserve"> som driftsomkostninger til miljø- og servicemål: </w:t>
      </w:r>
    </w:p>
    <w:p w:rsidR="00A61766" w:rsidP="00A61766" w:rsidRDefault="00A61766">
      <w:pPr>
        <w:jc w:val="both"/>
        <w:rPr>
          <w:szCs w:val="24"/>
        </w:rPr>
      </w:pPr>
    </w:p>
    <w:p w:rsidR="00A61766" w:rsidP="00A61766" w:rsidRDefault="003F4720">
      <w:pPr>
        <w:numPr>
          <w:ilvl w:val="0"/>
          <w:numId w:val="9"/>
        </w:numPr>
        <w:jc w:val="both"/>
        <w:rPr>
          <w:szCs w:val="24"/>
        </w:rPr>
      </w:pPr>
      <w:r>
        <w:rPr>
          <w:szCs w:val="24"/>
        </w:rPr>
        <w:t>Beredskabsplan: 210.000 kr.</w:t>
      </w:r>
    </w:p>
    <w:p w:rsidR="00A61766" w:rsidP="00A61766" w:rsidRDefault="00A61766">
      <w:pPr>
        <w:rPr>
          <w:highlight w:val="blue"/>
        </w:rPr>
      </w:pPr>
    </w:p>
    <w:p w:rsidR="003F4720" w:rsidP="003F4720" w:rsidRDefault="003F4720">
      <w:pPr>
        <w:jc w:val="both"/>
      </w:pPr>
      <w:r>
        <w:t>Selskabet har ansøgt om tillæg for driftsomkostninger til gennemførelsen af en beredskabsplan, som skal sikre hurtig og konkret indgriben ved en beredskabssituation. Målet er efter det oplyste fastsat af selskabets best</w:t>
      </w:r>
      <w:r>
        <w:t>y</w:t>
      </w:r>
      <w:r>
        <w:t xml:space="preserve">relse. Som dokumentation herfor, har selskabet indsendt </w:t>
      </w:r>
      <w:r w:rsidR="002A58ED">
        <w:t xml:space="preserve">redegørende </w:t>
      </w:r>
      <w:r w:rsidR="00FC4B43">
        <w:t>n</w:t>
      </w:r>
      <w:r w:rsidR="00FC4B43">
        <w:t>o</w:t>
      </w:r>
      <w:r w:rsidR="00FC4B43">
        <w:t>tat af 15. april 2013</w:t>
      </w:r>
      <w:r>
        <w:t>, hvoraf det fremgår, at selskabet har valgt at ge</w:t>
      </w:r>
      <w:r>
        <w:t>n</w:t>
      </w:r>
      <w:r>
        <w:t>nemføre beredskabsplanen i 2013.</w:t>
      </w:r>
    </w:p>
    <w:p w:rsidRPr="00DA0C56" w:rsidR="003F4720" w:rsidP="003F4720" w:rsidRDefault="003F4720">
      <w:pPr>
        <w:jc w:val="both"/>
        <w:rPr>
          <w:szCs w:val="24"/>
        </w:rPr>
      </w:pPr>
    </w:p>
    <w:p w:rsidRPr="00DA0C56" w:rsidR="003F4720" w:rsidP="003F4720" w:rsidRDefault="003F4720">
      <w:pPr>
        <w:jc w:val="both"/>
        <w:rPr>
          <w:szCs w:val="24"/>
        </w:rPr>
      </w:pPr>
      <w:r w:rsidRPr="00DA0C56">
        <w:rPr>
          <w:szCs w:val="24"/>
        </w:rPr>
        <w:t>Forsyningssekretariatet finder ikke, at det fremsendte materiale dok</w:t>
      </w:r>
      <w:r w:rsidRPr="00DA0C56">
        <w:rPr>
          <w:szCs w:val="24"/>
        </w:rPr>
        <w:t>u</w:t>
      </w:r>
      <w:r w:rsidRPr="00DA0C56">
        <w:rPr>
          <w:szCs w:val="24"/>
        </w:rPr>
        <w:t xml:space="preserve">menterer, at målet som hævdet er fastsat af </w:t>
      </w:r>
      <w:r>
        <w:rPr>
          <w:szCs w:val="24"/>
        </w:rPr>
        <w:t>selskabets bestyrelse. Selsk</w:t>
      </w:r>
      <w:r>
        <w:rPr>
          <w:szCs w:val="24"/>
        </w:rPr>
        <w:t>a</w:t>
      </w:r>
      <w:r>
        <w:rPr>
          <w:szCs w:val="24"/>
        </w:rPr>
        <w:t>bet har oplyst, at målet forventes vedtaget på bestyrelsesmødet den 26. august 2013.</w:t>
      </w:r>
    </w:p>
    <w:p w:rsidRPr="00DA0C56" w:rsidR="003F4720" w:rsidP="003F4720" w:rsidRDefault="003F4720">
      <w:pPr>
        <w:jc w:val="both"/>
        <w:rPr>
          <w:szCs w:val="24"/>
        </w:rPr>
      </w:pPr>
    </w:p>
    <w:p w:rsidRPr="0010637D" w:rsidR="003F4720" w:rsidP="00A61766" w:rsidRDefault="003F4720">
      <w:pPr>
        <w:jc w:val="both"/>
        <w:rPr>
          <w:szCs w:val="24"/>
        </w:rPr>
      </w:pPr>
      <w:r>
        <w:rPr>
          <w:szCs w:val="24"/>
        </w:rPr>
        <w:t>D</w:t>
      </w:r>
      <w:r w:rsidRPr="00DA0C56">
        <w:rPr>
          <w:szCs w:val="24"/>
        </w:rPr>
        <w:t xml:space="preserve">er </w:t>
      </w:r>
      <w:r>
        <w:rPr>
          <w:szCs w:val="24"/>
        </w:rPr>
        <w:t xml:space="preserve">er </w:t>
      </w:r>
      <w:r w:rsidRPr="00DA0C56">
        <w:rPr>
          <w:szCs w:val="24"/>
        </w:rPr>
        <w:t>efter Forsyningssekretariatets vurdering ikke grundlag for at tild</w:t>
      </w:r>
      <w:r w:rsidRPr="00DA0C56">
        <w:rPr>
          <w:szCs w:val="24"/>
        </w:rPr>
        <w:t>e</w:t>
      </w:r>
      <w:r w:rsidRPr="00DA0C56">
        <w:rPr>
          <w:szCs w:val="24"/>
        </w:rPr>
        <w:t>le et tillæg til prisloftet</w:t>
      </w:r>
      <w:r>
        <w:rPr>
          <w:szCs w:val="24"/>
        </w:rPr>
        <w:t>, idet målet ikke er besluttet af et kompetent o</w:t>
      </w:r>
      <w:r>
        <w:rPr>
          <w:szCs w:val="24"/>
        </w:rPr>
        <w:t>r</w:t>
      </w:r>
      <w:r>
        <w:rPr>
          <w:szCs w:val="24"/>
        </w:rPr>
        <w:t>gan.</w:t>
      </w:r>
      <w:r w:rsidR="001417F8">
        <w:rPr>
          <w:szCs w:val="24"/>
        </w:rPr>
        <w:t xml:space="preserve"> Forsyningssekretariatet har ikke foretaget en vurdering af, om de øvrige betingelser er opfyldt. </w:t>
      </w:r>
    </w:p>
    <w:p w:rsidR="003F4720" w:rsidP="00A61766" w:rsidRDefault="003F4720">
      <w:pPr>
        <w:jc w:val="both"/>
      </w:pPr>
    </w:p>
    <w:p w:rsidRPr="001417F8" w:rsidR="00A61766" w:rsidP="00A61766" w:rsidRDefault="00A61766">
      <w:pPr>
        <w:jc w:val="both"/>
      </w:pPr>
      <w:r w:rsidRPr="001417F8">
        <w:t xml:space="preserve">Det samlede tillæg for </w:t>
      </w:r>
      <w:r w:rsidRPr="001417F8">
        <w:rPr>
          <w:szCs w:val="24"/>
        </w:rPr>
        <w:t>driftsomkostninger til miljø- og servicemål</w:t>
      </w:r>
      <w:r w:rsidRPr="001417F8">
        <w:t xml:space="preserve"> er de</w:t>
      </w:r>
      <w:r w:rsidRPr="001417F8">
        <w:t>r</w:t>
      </w:r>
      <w:r w:rsidRPr="001417F8">
        <w:t xml:space="preserve">for på </w:t>
      </w:r>
      <w:bookmarkStart w:name="Mogs" w:id="18"/>
      <w:r w:rsidRPr="001417F8" w:rsidR="003F4720">
        <w:t>0</w:t>
      </w:r>
      <w:bookmarkEnd w:id="18"/>
      <w:r w:rsidRPr="001417F8">
        <w:t xml:space="preserve"> kr.</w:t>
      </w:r>
    </w:p>
    <w:p w:rsidRPr="001417F8" w:rsidR="00A61766" w:rsidP="00A61766" w:rsidRDefault="00A61766">
      <w:pPr>
        <w:rPr>
          <w:b/>
          <w:szCs w:val="24"/>
        </w:rPr>
      </w:pPr>
    </w:p>
    <w:p w:rsidRPr="001417F8" w:rsidR="005E5AD1" w:rsidP="00A61766" w:rsidRDefault="005E5AD1">
      <w:pPr>
        <w:rPr>
          <w:b/>
          <w:szCs w:val="24"/>
        </w:rPr>
      </w:pPr>
      <w:r w:rsidRPr="001417F8">
        <w:rPr>
          <w:b/>
          <w:szCs w:val="24"/>
        </w:rPr>
        <w:t>Tillæg for omkostninger til medfinansiering af klimatilpasningspr</w:t>
      </w:r>
      <w:r w:rsidRPr="001417F8">
        <w:rPr>
          <w:b/>
          <w:szCs w:val="24"/>
        </w:rPr>
        <w:t>o</w:t>
      </w:r>
      <w:r w:rsidRPr="001417F8">
        <w:rPr>
          <w:b/>
          <w:szCs w:val="24"/>
        </w:rPr>
        <w:t>jekter</w:t>
      </w:r>
    </w:p>
    <w:p w:rsidRPr="001417F8" w:rsidR="005E5AD1" w:rsidP="005E5AD1" w:rsidRDefault="005E5AD1">
      <w:pPr>
        <w:jc w:val="both"/>
        <w:rPr>
          <w:szCs w:val="24"/>
        </w:rPr>
      </w:pPr>
      <w:r w:rsidRPr="001417F8">
        <w:rPr>
          <w:szCs w:val="24"/>
        </w:rPr>
        <w:t>Der er vedtaget ny lovgivning, som under visse betingelser giver spild</w:t>
      </w:r>
      <w:r w:rsidRPr="001417F8">
        <w:rPr>
          <w:szCs w:val="24"/>
        </w:rPr>
        <w:t>e</w:t>
      </w:r>
      <w:r w:rsidRPr="001417F8">
        <w:rPr>
          <w:szCs w:val="24"/>
        </w:rPr>
        <w:t>vandsselskabe</w:t>
      </w:r>
      <w:r w:rsidRPr="001417F8" w:rsidR="006E26AE">
        <w:rPr>
          <w:szCs w:val="24"/>
        </w:rPr>
        <w:t>r mulighed for at medfinansiere</w:t>
      </w:r>
      <w:r w:rsidRPr="001417F8">
        <w:rPr>
          <w:szCs w:val="24"/>
        </w:rPr>
        <w:t xml:space="preserve"> </w:t>
      </w:r>
      <w:r w:rsidRPr="001417F8">
        <w:rPr>
          <w:i/>
          <w:szCs w:val="24"/>
        </w:rPr>
        <w:t>kommunale og private klimatilpasningsprojekter</w:t>
      </w:r>
      <w:r w:rsidRPr="001417F8">
        <w:rPr>
          <w:szCs w:val="24"/>
        </w:rPr>
        <w:t>, som har til formål at styrke afledning og håndtering af tag- og overfladevand. De nærmere betingelser herfor fremgår af medfinansieringsbekendtgørelsen (nr. 89 af 30. januar 2013).</w:t>
      </w:r>
    </w:p>
    <w:p w:rsidRPr="001417F8" w:rsidR="005E5AD1" w:rsidP="005E5AD1" w:rsidRDefault="005E5AD1">
      <w:pPr>
        <w:jc w:val="both"/>
        <w:rPr>
          <w:szCs w:val="24"/>
        </w:rPr>
      </w:pPr>
    </w:p>
    <w:p w:rsidRPr="001417F8" w:rsidR="005E5AD1" w:rsidP="005E5AD1" w:rsidRDefault="005E5AD1">
      <w:pPr>
        <w:jc w:val="both"/>
        <w:rPr>
          <w:szCs w:val="24"/>
        </w:rPr>
      </w:pPr>
      <w:r w:rsidRPr="001417F8">
        <w:rPr>
          <w:szCs w:val="24"/>
        </w:rPr>
        <w:t>Forsyningssekretariatet fastsætter tillæg for spildevandsselskabernes omkostninger til medfinansiering af klimatilpasningsprojekter ud fra de oplysninger, selskaberne indsender. Omkostningerne indregnes i prislo</w:t>
      </w:r>
      <w:r w:rsidRPr="001417F8">
        <w:rPr>
          <w:szCs w:val="24"/>
        </w:rPr>
        <w:t>f</w:t>
      </w:r>
      <w:r w:rsidRPr="001417F8">
        <w:rPr>
          <w:szCs w:val="24"/>
        </w:rPr>
        <w:t xml:space="preserve">tet som tillæg for driftsomkostninger til miljø- og servicemål. </w:t>
      </w:r>
    </w:p>
    <w:p w:rsidRPr="001417F8" w:rsidR="005E5AD1" w:rsidP="005E5AD1" w:rsidRDefault="005E5AD1">
      <w:pPr>
        <w:jc w:val="both"/>
        <w:rPr>
          <w:szCs w:val="24"/>
        </w:rPr>
      </w:pPr>
    </w:p>
    <w:p w:rsidRPr="001417F8" w:rsidR="005E5AD1" w:rsidP="005E5AD1" w:rsidRDefault="005E5AD1">
      <w:pPr>
        <w:jc w:val="both"/>
        <w:rPr>
          <w:szCs w:val="24"/>
        </w:rPr>
      </w:pPr>
      <w:r w:rsidRPr="001417F8">
        <w:rPr>
          <w:szCs w:val="24"/>
        </w:rPr>
        <w:t xml:space="preserve">Selskabet </w:t>
      </w:r>
      <w:r w:rsidRPr="001417F8" w:rsidR="00E002BE">
        <w:rPr>
          <w:szCs w:val="24"/>
        </w:rPr>
        <w:t>indberettede oprindeligt</w:t>
      </w:r>
      <w:r w:rsidRPr="001417F8">
        <w:rPr>
          <w:szCs w:val="24"/>
        </w:rPr>
        <w:t xml:space="preserve"> omkostninger til medfinansiering af klima</w:t>
      </w:r>
      <w:r w:rsidRPr="001417F8" w:rsidR="00CD212B">
        <w:rPr>
          <w:szCs w:val="24"/>
        </w:rPr>
        <w:t>tilpasningsprojekter i 2014</w:t>
      </w:r>
      <w:r w:rsidRPr="001417F8" w:rsidR="00E002BE">
        <w:rPr>
          <w:szCs w:val="24"/>
        </w:rPr>
        <w:t>, men har efterfølgende i mail af 7. juni 2013 tilbagetrukket ansøgningen herom</w:t>
      </w:r>
      <w:r w:rsidRPr="001417F8">
        <w:rPr>
          <w:szCs w:val="24"/>
        </w:rPr>
        <w:t>. Forsyningssekretariatet har de</w:t>
      </w:r>
      <w:r w:rsidRPr="001417F8">
        <w:rPr>
          <w:szCs w:val="24"/>
        </w:rPr>
        <w:t>r</w:t>
      </w:r>
      <w:r w:rsidRPr="001417F8">
        <w:rPr>
          <w:szCs w:val="24"/>
        </w:rPr>
        <w:t>for ikke givet tillæg til prisloftet herfor.</w:t>
      </w:r>
    </w:p>
    <w:p w:rsidRPr="001417F8" w:rsidR="00D95804" w:rsidP="005E5AD1" w:rsidRDefault="00D95804">
      <w:pPr>
        <w:jc w:val="both"/>
        <w:rPr>
          <w:szCs w:val="24"/>
        </w:rPr>
      </w:pPr>
    </w:p>
    <w:p w:rsidRPr="005E5AD1" w:rsidR="005E5AD1" w:rsidP="005E5AD1" w:rsidRDefault="00E002BE">
      <w:pPr>
        <w:jc w:val="both"/>
        <w:rPr>
          <w:szCs w:val="24"/>
        </w:rPr>
      </w:pPr>
      <w:r w:rsidRPr="001417F8">
        <w:rPr>
          <w:szCs w:val="24"/>
        </w:rPr>
        <w:t xml:space="preserve">Tillægget </w:t>
      </w:r>
      <w:r w:rsidR="00432ABD">
        <w:rPr>
          <w:szCs w:val="24"/>
        </w:rPr>
        <w:t>for omkostninger til medfinansiering af klimatilpasningspr</w:t>
      </w:r>
      <w:r w:rsidR="00432ABD">
        <w:rPr>
          <w:szCs w:val="24"/>
        </w:rPr>
        <w:t>o</w:t>
      </w:r>
      <w:r w:rsidR="00432ABD">
        <w:rPr>
          <w:szCs w:val="24"/>
        </w:rPr>
        <w:t>jekter er</w:t>
      </w:r>
      <w:r w:rsidRPr="001417F8">
        <w:rPr>
          <w:szCs w:val="24"/>
        </w:rPr>
        <w:t xml:space="preserve"> derfor</w:t>
      </w:r>
      <w:r w:rsidRPr="001417F8" w:rsidR="00D95804">
        <w:rPr>
          <w:szCs w:val="24"/>
        </w:rPr>
        <w:t xml:space="preserve"> </w:t>
      </w:r>
      <w:bookmarkStart w:name="klimaMogs" w:id="19"/>
      <w:r w:rsidRPr="001417F8">
        <w:rPr>
          <w:szCs w:val="24"/>
        </w:rPr>
        <w:t>0</w:t>
      </w:r>
      <w:bookmarkEnd w:id="19"/>
      <w:r w:rsidRPr="001417F8">
        <w:rPr>
          <w:szCs w:val="24"/>
        </w:rPr>
        <w:t xml:space="preserve"> kr.</w:t>
      </w:r>
      <w:r>
        <w:rPr>
          <w:szCs w:val="24"/>
        </w:rPr>
        <w:t xml:space="preserve">   </w:t>
      </w:r>
    </w:p>
    <w:p w:rsidR="00A61766" w:rsidP="00A61766" w:rsidRDefault="00A61766">
      <w:pPr>
        <w:rPr>
          <w:szCs w:val="24"/>
          <w:highlight w:val="darkGray"/>
        </w:rPr>
      </w:pPr>
    </w:p>
    <w:p w:rsidR="00A61766" w:rsidP="00A61766" w:rsidRDefault="00A61766">
      <w:pPr>
        <w:rPr>
          <w:b/>
          <w:szCs w:val="24"/>
        </w:rPr>
      </w:pPr>
      <w:r>
        <w:rPr>
          <w:b/>
          <w:szCs w:val="24"/>
        </w:rPr>
        <w:t xml:space="preserve">Korrektion i forhold til faktiske </w:t>
      </w:r>
      <w:r w:rsidRPr="001F00F2">
        <w:rPr>
          <w:b/>
          <w:szCs w:val="24"/>
        </w:rPr>
        <w:t>driftsomk</w:t>
      </w:r>
      <w:r>
        <w:rPr>
          <w:b/>
          <w:szCs w:val="24"/>
        </w:rPr>
        <w:t xml:space="preserve">ostninger </w:t>
      </w:r>
      <w:r w:rsidRPr="001F00F2">
        <w:rPr>
          <w:b/>
          <w:szCs w:val="24"/>
        </w:rPr>
        <w:t>til miljø- og se</w:t>
      </w:r>
      <w:r w:rsidRPr="001F00F2">
        <w:rPr>
          <w:b/>
          <w:szCs w:val="24"/>
        </w:rPr>
        <w:t>r</w:t>
      </w:r>
      <w:r w:rsidRPr="001F00F2">
        <w:rPr>
          <w:b/>
          <w:szCs w:val="24"/>
        </w:rPr>
        <w:t xml:space="preserve">vicemål </w:t>
      </w:r>
      <w:r>
        <w:rPr>
          <w:b/>
          <w:szCs w:val="24"/>
        </w:rPr>
        <w:t>i 2012</w:t>
      </w:r>
    </w:p>
    <w:p w:rsidRPr="00965142" w:rsidR="00A61766" w:rsidP="00A61766" w:rsidRDefault="00A61766">
      <w:pPr>
        <w:autoSpaceDE w:val="0"/>
        <w:autoSpaceDN w:val="0"/>
        <w:adjustRightInd w:val="0"/>
        <w:jc w:val="both"/>
      </w:pPr>
      <w:r w:rsidRPr="00965142">
        <w:t>Forsyningssekretariatet foretager årligt en engangsregulering for forske</w:t>
      </w:r>
      <w:r w:rsidRPr="00965142">
        <w:t>l</w:t>
      </w:r>
      <w:r w:rsidRPr="00965142">
        <w:t xml:space="preserve">le mellem tidligere indregnede </w:t>
      </w:r>
      <w:r>
        <w:t>forventede</w:t>
      </w:r>
      <w:r w:rsidRPr="00965142">
        <w:t xml:space="preserve"> </w:t>
      </w:r>
      <w:r w:rsidRPr="00BF3F38">
        <w:t xml:space="preserve">driftsomkostninger til miljø- og servicemål </w:t>
      </w:r>
      <w:r w:rsidRPr="00965142">
        <w:t xml:space="preserve">og faktiske beløb </w:t>
      </w:r>
      <w:r w:rsidRPr="00703DB0">
        <w:t xml:space="preserve">i henhold til reguleringsregnskabet for </w:t>
      </w:r>
      <w:r w:rsidRPr="00703DB0">
        <w:lastRenderedPageBreak/>
        <w:t xml:space="preserve">prisloftsåret </w:t>
      </w:r>
      <w:r w:rsidRPr="00965142">
        <w:t>for det år, der ligger to år forud for prisloftåret, jf. prislof</w:t>
      </w:r>
      <w:r w:rsidRPr="00965142">
        <w:t>t</w:t>
      </w:r>
      <w:r w:rsidRPr="00965142">
        <w:t>bekendtgørel</w:t>
      </w:r>
      <w:r>
        <w:t>sens § 5, stk. 2</w:t>
      </w:r>
      <w:r w:rsidRPr="00965142">
        <w:t xml:space="preserve">. </w:t>
      </w:r>
    </w:p>
    <w:p w:rsidR="00A61766" w:rsidP="00A61766" w:rsidRDefault="00A61766">
      <w:pPr>
        <w:rPr>
          <w:szCs w:val="24"/>
        </w:rPr>
      </w:pPr>
    </w:p>
    <w:p w:rsidRPr="005363D2" w:rsidR="00A61766" w:rsidP="00A61766" w:rsidRDefault="00A61766">
      <w:pPr>
        <w:rPr>
          <w:szCs w:val="24"/>
        </w:rPr>
      </w:pPr>
      <w:r w:rsidRPr="005363D2">
        <w:rPr>
          <w:szCs w:val="24"/>
        </w:rPr>
        <w:t>I selskabets prisloft for 201</w:t>
      </w:r>
      <w:r>
        <w:rPr>
          <w:szCs w:val="24"/>
        </w:rPr>
        <w:t>2</w:t>
      </w:r>
      <w:r w:rsidRPr="005363D2">
        <w:rPr>
          <w:szCs w:val="24"/>
        </w:rPr>
        <w:t xml:space="preserve"> er der ikke givet tillæg for driftsomkostni</w:t>
      </w:r>
      <w:r w:rsidRPr="005363D2">
        <w:rPr>
          <w:szCs w:val="24"/>
        </w:rPr>
        <w:t>n</w:t>
      </w:r>
      <w:r w:rsidRPr="005363D2">
        <w:rPr>
          <w:szCs w:val="24"/>
        </w:rPr>
        <w:t>ger til miljø- og servicemål.</w:t>
      </w:r>
    </w:p>
    <w:p w:rsidRPr="005363D2" w:rsidR="00A61766" w:rsidP="00A61766" w:rsidRDefault="00A61766">
      <w:pPr>
        <w:rPr>
          <w:szCs w:val="24"/>
        </w:rPr>
      </w:pPr>
    </w:p>
    <w:p w:rsidR="00A61766" w:rsidP="00A61766" w:rsidRDefault="00A61766">
      <w:pPr>
        <w:jc w:val="both"/>
        <w:rPr>
          <w:szCs w:val="24"/>
        </w:rPr>
      </w:pPr>
      <w:r w:rsidRPr="005363D2">
        <w:rPr>
          <w:szCs w:val="24"/>
        </w:rPr>
        <w:t>Der er derfor ikke anledning til at foretage en korrektion for forskelle me</w:t>
      </w:r>
      <w:r>
        <w:rPr>
          <w:szCs w:val="24"/>
        </w:rPr>
        <w:t>llem</w:t>
      </w:r>
      <w:r w:rsidRPr="005363D2">
        <w:rPr>
          <w:szCs w:val="24"/>
        </w:rPr>
        <w:t xml:space="preserve"> budgetterede og faktiske driftsomkostninger til miljø- og se</w:t>
      </w:r>
      <w:r w:rsidRPr="005363D2">
        <w:rPr>
          <w:szCs w:val="24"/>
        </w:rPr>
        <w:t>r</w:t>
      </w:r>
      <w:r w:rsidRPr="005363D2">
        <w:rPr>
          <w:szCs w:val="24"/>
        </w:rPr>
        <w:t>vicemål.</w:t>
      </w:r>
    </w:p>
    <w:p w:rsidRPr="005363D2" w:rsidR="002A4C09" w:rsidP="00A61766" w:rsidRDefault="002A4C09">
      <w:pPr>
        <w:jc w:val="both"/>
        <w:rPr>
          <w:szCs w:val="24"/>
        </w:rPr>
      </w:pPr>
    </w:p>
    <w:p w:rsidRPr="001417F8" w:rsidR="00A61766" w:rsidP="00A61766" w:rsidRDefault="00A61766">
      <w:pPr>
        <w:autoSpaceDE w:val="0"/>
        <w:autoSpaceDN w:val="0"/>
        <w:adjustRightInd w:val="0"/>
        <w:jc w:val="both"/>
      </w:pPr>
      <w:r w:rsidRPr="001417F8">
        <w:t xml:space="preserve">Korrektionen i prisloftet for 2014 bliver således </w:t>
      </w:r>
      <w:bookmarkStart w:name="KorrMogs" w:id="20"/>
      <w:r w:rsidRPr="001417F8" w:rsidR="002A4C09">
        <w:t>0</w:t>
      </w:r>
      <w:bookmarkEnd w:id="20"/>
      <w:r w:rsidRPr="001417F8">
        <w:t xml:space="preserve"> kr. </w:t>
      </w:r>
    </w:p>
    <w:p w:rsidRPr="001417F8" w:rsidR="0073621A" w:rsidP="001C2FA9" w:rsidRDefault="0073621A"/>
    <w:p w:rsidRPr="001417F8" w:rsidR="00A61766" w:rsidP="00A61766" w:rsidRDefault="00A61766">
      <w:pPr>
        <w:rPr>
          <w:b/>
          <w:szCs w:val="24"/>
        </w:rPr>
      </w:pPr>
      <w:r w:rsidRPr="001417F8">
        <w:rPr>
          <w:b/>
          <w:szCs w:val="24"/>
        </w:rPr>
        <w:t xml:space="preserve">Tillæg/fradrag for nettofinansielle poster i 2014 </w:t>
      </w:r>
    </w:p>
    <w:p w:rsidRPr="00F8783B" w:rsidR="00A61766" w:rsidP="00A61766" w:rsidRDefault="00A61766">
      <w:pPr>
        <w:jc w:val="both"/>
      </w:pPr>
      <w:r w:rsidRPr="001417F8">
        <w:t>Prisloftet for 2014 skal efter prisloftbekendtgørelsens</w:t>
      </w:r>
      <w:r w:rsidRPr="00F8783B">
        <w:t xml:space="preserve"> § 5, stk. 1</w:t>
      </w:r>
      <w:r>
        <w:t>,</w:t>
      </w:r>
      <w:r w:rsidRPr="00F8783B">
        <w:t xml:space="preserve"> korrig</w:t>
      </w:r>
      <w:r w:rsidRPr="00F8783B">
        <w:t>e</w:t>
      </w:r>
      <w:r w:rsidRPr="00F8783B">
        <w:t xml:space="preserve">res for selskabets forventede nettofinansielle indtægter og udgifter. Det følger af prisloftbekendtgørelsens § 13, stk. 1, at nettofinansielle poster kan indregnes i prisloftet, i det omfang låntagningen er sket på effektive og markedsmæssige vilkår. </w:t>
      </w:r>
    </w:p>
    <w:p w:rsidRPr="00F8783B" w:rsidR="00A61766" w:rsidP="00A61766" w:rsidRDefault="00A61766">
      <w:pPr>
        <w:jc w:val="both"/>
      </w:pPr>
    </w:p>
    <w:p w:rsidR="00A61766" w:rsidP="00A61766" w:rsidRDefault="00A61766">
      <w:pPr>
        <w:jc w:val="both"/>
      </w:pPr>
      <w:r w:rsidRPr="00F8783B">
        <w:t>I henhold til prisloftbekendtgørelsens § 13, stk. 2, kan Forsyningssekr</w:t>
      </w:r>
      <w:r w:rsidRPr="00F8783B">
        <w:t>e</w:t>
      </w:r>
      <w:r w:rsidRPr="00F8783B">
        <w:t>tariatet skønne, at renten på et selskabs valgte lån adskiller sig væsentlig fra markedsmæssige vilkår. I så fald indregnes renteomkostninger sv</w:t>
      </w:r>
      <w:r w:rsidRPr="00F8783B">
        <w:t>a</w:t>
      </w:r>
      <w:r>
        <w:t xml:space="preserve">rende til den effektive rente på en 2-årig dansk statsobligation </w:t>
      </w:r>
      <w:r w:rsidRPr="00F8783B">
        <w:t>og gæld</w:t>
      </w:r>
      <w:r w:rsidRPr="00F8783B">
        <w:t>s</w:t>
      </w:r>
      <w:r w:rsidRPr="00F8783B">
        <w:t>risikopræmie for selskabet i prisloftet i stedet for selskabets faktiske re</w:t>
      </w:r>
      <w:r w:rsidRPr="00F8783B">
        <w:t>n</w:t>
      </w:r>
      <w:r w:rsidRPr="00F8783B">
        <w:t xml:space="preserve">teomkostninger.   </w:t>
      </w:r>
    </w:p>
    <w:p w:rsidRPr="00F8783B" w:rsidR="00A61766" w:rsidP="00A61766" w:rsidRDefault="00A61766">
      <w:pPr>
        <w:jc w:val="both"/>
      </w:pPr>
    </w:p>
    <w:p w:rsidR="00A61766" w:rsidP="00A61766" w:rsidRDefault="00EC2E79">
      <w:pPr>
        <w:jc w:val="both"/>
      </w:pPr>
      <w:r>
        <w:t>Tillægget</w:t>
      </w:r>
      <w:r w:rsidRPr="00F8783B" w:rsidR="00A61766">
        <w:t xml:space="preserve"> for selskabets nettofinansielle poster beregnes som værdien af selskabets </w:t>
      </w:r>
      <w:r w:rsidR="00A61766">
        <w:t>finansielle omkostninger fratrukket dets finansielle indtægter. Selskabets finansielle omkostninger omfatter blandt andet renteomkos</w:t>
      </w:r>
      <w:r w:rsidR="00A61766">
        <w:t>t</w:t>
      </w:r>
      <w:r w:rsidR="00A61766">
        <w:t xml:space="preserve">ninger, kurstab og finansielle gebyrer. Selskabets finansielle indtægter omfatter blandt andet renteindtægter, kursgevinster og afkast fra likvide beholdninger. </w:t>
      </w:r>
    </w:p>
    <w:p w:rsidR="00A61766" w:rsidP="00A61766" w:rsidRDefault="00A61766">
      <w:pPr>
        <w:jc w:val="both"/>
      </w:pPr>
    </w:p>
    <w:p w:rsidR="00A61766" w:rsidP="00A61766" w:rsidRDefault="00A61766">
      <w:pPr>
        <w:jc w:val="both"/>
      </w:pPr>
      <w:r w:rsidRPr="00F8783B">
        <w:t>Selskabet forventer</w:t>
      </w:r>
      <w:r w:rsidRPr="00EC2E79">
        <w:t xml:space="preserve"> renteudgifter på </w:t>
      </w:r>
      <w:r w:rsidRPr="00EC2E79" w:rsidR="00B42749">
        <w:t>845.000</w:t>
      </w:r>
      <w:r w:rsidRPr="00EC2E79">
        <w:t xml:space="preserve"> kr. i prisloftåret 2014. Se</w:t>
      </w:r>
      <w:r w:rsidRPr="00EC2E79">
        <w:t>l</w:t>
      </w:r>
      <w:r w:rsidRPr="00EC2E79">
        <w:t>skabet forventer ingen renteindtægte</w:t>
      </w:r>
      <w:r w:rsidRPr="00EC2E79" w:rsidR="00B42749">
        <w:t>r</w:t>
      </w:r>
      <w:r w:rsidRPr="00EC2E79">
        <w:t xml:space="preserve"> </w:t>
      </w:r>
      <w:r>
        <w:t>i 2014</w:t>
      </w:r>
      <w:r w:rsidRPr="00F8783B">
        <w:t xml:space="preserve">. </w:t>
      </w:r>
    </w:p>
    <w:p w:rsidRPr="00F8783B" w:rsidR="00A61766" w:rsidP="00A61766" w:rsidRDefault="00A61766">
      <w:pPr>
        <w:jc w:val="both"/>
      </w:pPr>
    </w:p>
    <w:p w:rsidR="00A61766" w:rsidP="00A61766" w:rsidRDefault="00A61766">
      <w:pPr>
        <w:jc w:val="both"/>
      </w:pPr>
      <w:r w:rsidRPr="00F8783B">
        <w:t xml:space="preserve">På baggrund af ovenstående fastsætter Forsyningssekretariatet selskabets nettofinansielle poster til </w:t>
      </w:r>
      <w:bookmarkStart w:name="NetFin" w:id="21"/>
      <w:r w:rsidRPr="00EC2E79" w:rsidR="00B42749">
        <w:t>845.000</w:t>
      </w:r>
      <w:bookmarkEnd w:id="21"/>
      <w:r w:rsidRPr="00F8783B">
        <w:t xml:space="preserve"> kr. (</w:t>
      </w:r>
      <w:r w:rsidR="00B42749">
        <w:t>845.000</w:t>
      </w:r>
      <w:r w:rsidRPr="00F8783B">
        <w:t xml:space="preserve"> kr. – </w:t>
      </w:r>
      <w:r w:rsidR="00B42749">
        <w:t>0</w:t>
      </w:r>
      <w:r>
        <w:t xml:space="preserve"> kr.) i prisloftet for 2014</w:t>
      </w:r>
      <w:r w:rsidRPr="00F8783B">
        <w:t xml:space="preserve">. </w:t>
      </w:r>
    </w:p>
    <w:p w:rsidR="001F00F2" w:rsidP="001F00F2" w:rsidRDefault="001F00F2">
      <w:pPr>
        <w:rPr>
          <w:szCs w:val="24"/>
        </w:rPr>
      </w:pPr>
    </w:p>
    <w:p w:rsidR="002A58ED" w:rsidP="001F00F2" w:rsidRDefault="002A58ED">
      <w:pPr>
        <w:rPr>
          <w:szCs w:val="24"/>
        </w:rPr>
      </w:pPr>
    </w:p>
    <w:p w:rsidRPr="00F8783B" w:rsidR="00A61766" w:rsidP="00A61766" w:rsidRDefault="00A61766">
      <w:pPr>
        <w:rPr>
          <w:b/>
          <w:szCs w:val="24"/>
        </w:rPr>
      </w:pPr>
      <w:r>
        <w:rPr>
          <w:b/>
          <w:szCs w:val="24"/>
        </w:rPr>
        <w:t xml:space="preserve">Korrektion ift. faktiske </w:t>
      </w:r>
      <w:r w:rsidRPr="001F00F2">
        <w:rPr>
          <w:b/>
          <w:szCs w:val="24"/>
        </w:rPr>
        <w:t>nettofinansielle poster</w:t>
      </w:r>
      <w:r>
        <w:rPr>
          <w:b/>
          <w:szCs w:val="24"/>
        </w:rPr>
        <w:t xml:space="preserve"> i 2012 </w:t>
      </w:r>
    </w:p>
    <w:p w:rsidRPr="00965142" w:rsidR="00A61766" w:rsidP="00A61766" w:rsidRDefault="00A61766">
      <w:pPr>
        <w:autoSpaceDE w:val="0"/>
        <w:autoSpaceDN w:val="0"/>
        <w:adjustRightInd w:val="0"/>
        <w:jc w:val="both"/>
      </w:pPr>
      <w:r w:rsidRPr="00965142">
        <w:t>Forsyningssekretariatet foretager årligt en engangsregulering for forske</w:t>
      </w:r>
      <w:r w:rsidRPr="00965142">
        <w:t>l</w:t>
      </w:r>
      <w:r w:rsidRPr="00965142">
        <w:t xml:space="preserve">le mellem tidligere indregnede </w:t>
      </w:r>
      <w:r>
        <w:t>forventede</w:t>
      </w:r>
      <w:r w:rsidRPr="00965142">
        <w:t xml:space="preserve"> </w:t>
      </w:r>
      <w:r>
        <w:t>nettofinansielle poster</w:t>
      </w:r>
      <w:r w:rsidRPr="00965142">
        <w:t xml:space="preserve"> og fa</w:t>
      </w:r>
      <w:r w:rsidRPr="00965142">
        <w:t>k</w:t>
      </w:r>
      <w:r w:rsidRPr="00965142">
        <w:t xml:space="preserve">tiske beløb </w:t>
      </w:r>
      <w:r w:rsidRPr="00703DB0">
        <w:t xml:space="preserve">i henhold til reguleringsregnskabet for prisloftsåret </w:t>
      </w:r>
      <w:r w:rsidRPr="00965142">
        <w:t>for det år, der ligger to år forud for prisloftåret, jf. prisloftbekendtgørel</w:t>
      </w:r>
      <w:r>
        <w:t>sens § 5, stk. 2</w:t>
      </w:r>
      <w:r w:rsidRPr="00965142">
        <w:t xml:space="preserve">. </w:t>
      </w:r>
    </w:p>
    <w:p w:rsidRPr="00965142" w:rsidR="00A61766" w:rsidP="00A61766" w:rsidRDefault="00A61766">
      <w:pPr>
        <w:autoSpaceDE w:val="0"/>
        <w:autoSpaceDN w:val="0"/>
        <w:adjustRightInd w:val="0"/>
        <w:jc w:val="both"/>
      </w:pPr>
    </w:p>
    <w:p w:rsidRPr="00965142" w:rsidR="00A61766" w:rsidP="00A61766" w:rsidRDefault="00A61766">
      <w:pPr>
        <w:autoSpaceDE w:val="0"/>
        <w:autoSpaceDN w:val="0"/>
        <w:adjustRightInd w:val="0"/>
        <w:jc w:val="both"/>
      </w:pPr>
      <w:r w:rsidRPr="00965142">
        <w:lastRenderedPageBreak/>
        <w:t>Det vil sige, at de</w:t>
      </w:r>
      <w:r>
        <w:t>r i selskabets prisloft for 2014</w:t>
      </w:r>
      <w:r w:rsidRPr="00965142">
        <w:t xml:space="preserve"> foretages en korrektion for forskellen mellem selskabets budgetterede </w:t>
      </w:r>
      <w:r>
        <w:t>nettofinansielle poster i 2012</w:t>
      </w:r>
      <w:r w:rsidRPr="00965142">
        <w:t xml:space="preserve">, som blev anvendt ved fastsættelsen af tillægget for </w:t>
      </w:r>
      <w:r>
        <w:t>nettofinansielle poster</w:t>
      </w:r>
      <w:r w:rsidRPr="00965142">
        <w:t xml:space="preserve"> i prisloftet for 201</w:t>
      </w:r>
      <w:r>
        <w:t>2</w:t>
      </w:r>
      <w:r w:rsidRPr="00965142">
        <w:t xml:space="preserve">, og selskabets faktiske </w:t>
      </w:r>
      <w:r>
        <w:t xml:space="preserve">nettofinansielle poster </w:t>
      </w:r>
      <w:r w:rsidRPr="00965142">
        <w:t>i 201</w:t>
      </w:r>
      <w:r>
        <w:t>2</w:t>
      </w:r>
      <w:r w:rsidRPr="00965142">
        <w:t xml:space="preserve">, som fremgår af selskabets </w:t>
      </w:r>
      <w:r>
        <w:t>regulerings</w:t>
      </w:r>
      <w:r w:rsidRPr="00965142">
        <w:t>regnskab for 201</w:t>
      </w:r>
      <w:r>
        <w:t>2</w:t>
      </w:r>
      <w:r w:rsidRPr="00965142">
        <w:t xml:space="preserve">. </w:t>
      </w:r>
    </w:p>
    <w:p w:rsidRPr="00965142" w:rsidR="00A61766" w:rsidP="00A61766" w:rsidRDefault="00A61766">
      <w:pPr>
        <w:autoSpaceDE w:val="0"/>
        <w:autoSpaceDN w:val="0"/>
        <w:adjustRightInd w:val="0"/>
        <w:jc w:val="both"/>
      </w:pPr>
    </w:p>
    <w:p w:rsidR="00A61766" w:rsidP="00A61766" w:rsidRDefault="00A61766">
      <w:pPr>
        <w:autoSpaceDE w:val="0"/>
        <w:autoSpaceDN w:val="0"/>
        <w:adjustRightInd w:val="0"/>
        <w:jc w:val="both"/>
      </w:pPr>
      <w:r w:rsidRPr="00965142">
        <w:t>Selskabet fik i prisloftet for 201</w:t>
      </w:r>
      <w:r>
        <w:t>2</w:t>
      </w:r>
      <w:r w:rsidRPr="00965142">
        <w:t xml:space="preserve"> tillæg for </w:t>
      </w:r>
      <w:r>
        <w:t xml:space="preserve">nettofinansielle poster </w:t>
      </w:r>
      <w:r w:rsidRPr="00965142">
        <w:t xml:space="preserve">på i alt </w:t>
      </w:r>
      <w:r w:rsidR="00B37909">
        <w:t>311.886</w:t>
      </w:r>
      <w:r>
        <w:t xml:space="preserve"> </w:t>
      </w:r>
      <w:r w:rsidRPr="00965142">
        <w:t xml:space="preserve">kr. Det fremgår </w:t>
      </w:r>
      <w:r>
        <w:t>af reguleringsregnskabet,</w:t>
      </w:r>
      <w:r w:rsidRPr="00965142">
        <w:t xml:space="preserve"> at selskabets</w:t>
      </w:r>
      <w:r>
        <w:t xml:space="preserve"> nettof</w:t>
      </w:r>
      <w:r>
        <w:t>i</w:t>
      </w:r>
      <w:r>
        <w:t xml:space="preserve">nansielle poster </w:t>
      </w:r>
      <w:r w:rsidRPr="00965142">
        <w:t>i 201</w:t>
      </w:r>
      <w:r>
        <w:t>2</w:t>
      </w:r>
      <w:r w:rsidRPr="00965142">
        <w:t xml:space="preserve"> </w:t>
      </w:r>
      <w:r>
        <w:t>va</w:t>
      </w:r>
      <w:r w:rsidRPr="00965142">
        <w:t xml:space="preserve">r på </w:t>
      </w:r>
      <w:r w:rsidR="00B37909">
        <w:t>96.308</w:t>
      </w:r>
      <w:r>
        <w:t xml:space="preserve"> </w:t>
      </w:r>
      <w:r w:rsidRPr="00965142">
        <w:t>kr. Korrektionen i prislof</w:t>
      </w:r>
      <w:r>
        <w:t>tet for 2014</w:t>
      </w:r>
      <w:r w:rsidRPr="00965142">
        <w:t xml:space="preserve"> bliver således </w:t>
      </w:r>
      <w:bookmarkStart w:name="KorrNetFin" w:id="22"/>
      <w:r w:rsidRPr="00EC2E79" w:rsidR="00B37909">
        <w:t>-215.578</w:t>
      </w:r>
      <w:bookmarkEnd w:id="22"/>
      <w:r>
        <w:t xml:space="preserve"> </w:t>
      </w:r>
      <w:r w:rsidRPr="00965142">
        <w:t>kr. (</w:t>
      </w:r>
      <w:r w:rsidR="00B37909">
        <w:t>96.308</w:t>
      </w:r>
      <w:r w:rsidRPr="00965142">
        <w:t xml:space="preserve"> kr. – </w:t>
      </w:r>
      <w:r w:rsidR="00B37909">
        <w:t>311.886</w:t>
      </w:r>
      <w:r>
        <w:t xml:space="preserve"> </w:t>
      </w:r>
      <w:r w:rsidRPr="00965142">
        <w:t>kr.)</w:t>
      </w:r>
    </w:p>
    <w:p w:rsidR="006B1426" w:rsidP="001F00F2" w:rsidRDefault="006B1426"/>
    <w:p w:rsidR="002A58ED" w:rsidP="001F00F2" w:rsidRDefault="002A58ED"/>
    <w:p w:rsidRPr="003D1ED6" w:rsidR="0066772C" w:rsidP="0066772C" w:rsidRDefault="0066772C">
      <w:pPr>
        <w:rPr>
          <w:b/>
          <w:sz w:val="28"/>
          <w:szCs w:val="28"/>
        </w:rPr>
      </w:pPr>
      <w:r w:rsidRPr="003D1ED6">
        <w:rPr>
          <w:b/>
          <w:sz w:val="28"/>
          <w:szCs w:val="28"/>
        </w:rPr>
        <w:t xml:space="preserve">Korrektion i forhold til tidligere indtægtsramme </w:t>
      </w:r>
    </w:p>
    <w:p w:rsidR="0066772C" w:rsidP="0066772C" w:rsidRDefault="0066772C"/>
    <w:p w:rsidR="00677AF1" w:rsidP="00677AF1" w:rsidRDefault="00677AF1">
      <w:pPr>
        <w:jc w:val="both"/>
        <w:rPr>
          <w:b/>
          <w:szCs w:val="24"/>
        </w:rPr>
      </w:pPr>
      <w:r>
        <w:rPr>
          <w:b/>
          <w:szCs w:val="24"/>
        </w:rPr>
        <w:t xml:space="preserve">Tillæg/fradrag for over- eller underdækning til og med 2010 </w:t>
      </w:r>
    </w:p>
    <w:p w:rsidR="00677AF1" w:rsidP="00677AF1" w:rsidRDefault="00677AF1">
      <w:pPr>
        <w:jc w:val="both"/>
      </w:pPr>
      <w:r>
        <w:t>I prislofterne for 2011 og 2012 er selskabets over- eller underdækning opgjort frem til og med 31. december 2010, hvorefter selskabet blev o</w:t>
      </w:r>
      <w:r>
        <w:t>m</w:t>
      </w:r>
      <w:r>
        <w:t xml:space="preserve">fattet af prisloftreglerne. </w:t>
      </w:r>
    </w:p>
    <w:p w:rsidR="00677AF1" w:rsidP="00677AF1" w:rsidRDefault="00677AF1">
      <w:pPr>
        <w:jc w:val="both"/>
      </w:pPr>
    </w:p>
    <w:p w:rsidR="00677AF1" w:rsidP="00677AF1" w:rsidRDefault="00677AF1">
      <w:pPr>
        <w:jc w:val="both"/>
      </w:pPr>
      <w:r>
        <w:t xml:space="preserve">Selskabets over- eller underdækning blev fuldt ud indregnet i prisloftet for 2012. </w:t>
      </w:r>
    </w:p>
    <w:p w:rsidR="00677AF1" w:rsidP="00677AF1" w:rsidRDefault="00677AF1">
      <w:pPr>
        <w:jc w:val="both"/>
      </w:pPr>
    </w:p>
    <w:p w:rsidR="0088740F" w:rsidP="00677AF1" w:rsidRDefault="00677AF1">
      <w:pPr>
        <w:jc w:val="both"/>
      </w:pPr>
      <w:r>
        <w:t xml:space="preserve">Selskabet har i </w:t>
      </w:r>
      <w:r w:rsidR="0088740F">
        <w:t xml:space="preserve">det </w:t>
      </w:r>
      <w:r>
        <w:t>supplerende høringssvar af 25. september 2013 a</w:t>
      </w:r>
      <w:r>
        <w:t>n</w:t>
      </w:r>
      <w:r>
        <w:t xml:space="preserve">modet om, at den historiske over- og underdækning korrigeres for </w:t>
      </w:r>
      <w:r w:rsidR="0088740F">
        <w:t>se</w:t>
      </w:r>
      <w:r w:rsidR="0088740F">
        <w:t>l</w:t>
      </w:r>
      <w:r w:rsidR="0088740F">
        <w:t xml:space="preserve">skabets </w:t>
      </w:r>
      <w:r>
        <w:t>skattebetaling på 4.264.848 kr. for skatteåret 2010, som følge af SKAT</w:t>
      </w:r>
      <w:r w:rsidR="0088740F">
        <w:t>s afgørelse af</w:t>
      </w:r>
      <w:r>
        <w:t xml:space="preserve"> 21. juni 2013. </w:t>
      </w:r>
    </w:p>
    <w:p w:rsidR="0088740F" w:rsidP="00677AF1" w:rsidRDefault="0088740F">
      <w:pPr>
        <w:jc w:val="both"/>
      </w:pPr>
    </w:p>
    <w:p w:rsidR="00677AF1" w:rsidP="00677AF1" w:rsidRDefault="001A580C">
      <w:pPr>
        <w:jc w:val="both"/>
      </w:pPr>
      <w:r>
        <w:t xml:space="preserve">Selskabet </w:t>
      </w:r>
      <w:r w:rsidR="00677AF1">
        <w:t xml:space="preserve">anmoder derfor om </w:t>
      </w:r>
      <w:r>
        <w:t xml:space="preserve">at </w:t>
      </w:r>
      <w:r w:rsidR="00677AF1">
        <w:t>skattebetalingen medtages som regul</w:t>
      </w:r>
      <w:r w:rsidR="00677AF1">
        <w:t>e</w:t>
      </w:r>
      <w:r w:rsidR="00677AF1">
        <w:t xml:space="preserve">ring til over- eller underdækningen til og med 2010, og indregnes over 3 år. Alternativt </w:t>
      </w:r>
      <w:r w:rsidR="0088740F">
        <w:t xml:space="preserve">har selskabet anmodet om, at skattebetalingen </w:t>
      </w:r>
      <w:r w:rsidR="00677AF1">
        <w:t>gives som tillæg til 1:1 omkostninger i en perio</w:t>
      </w:r>
      <w:r w:rsidR="0088740F">
        <w:t>de på 3 år.</w:t>
      </w:r>
    </w:p>
    <w:p w:rsidR="00677AF1" w:rsidP="00677AF1" w:rsidRDefault="00677AF1">
      <w:pPr>
        <w:jc w:val="both"/>
      </w:pPr>
    </w:p>
    <w:p w:rsidR="00677AF1" w:rsidP="00677AF1" w:rsidRDefault="00677AF1">
      <w:pPr>
        <w:jc w:val="both"/>
      </w:pPr>
      <w:r>
        <w:t>Den historiske over- og underdækning pr. 31. december 2010 blev o</w:t>
      </w:r>
      <w:r>
        <w:t>p</w:t>
      </w:r>
      <w:r>
        <w:t>gjort i selskabets prisloft for 2012. Dette skete på baggrund af de dav</w:t>
      </w:r>
      <w:r>
        <w:t>æ</w:t>
      </w:r>
      <w:r>
        <w:t xml:space="preserve">rende bestemmelser </w:t>
      </w:r>
      <w:r w:rsidR="001A580C">
        <w:t xml:space="preserve">(§ 5, stk. 2) </w:t>
      </w:r>
      <w:r>
        <w:t>i prisloftsbekendtgørelsen, der nu er o</w:t>
      </w:r>
      <w:r>
        <w:t>p</w:t>
      </w:r>
      <w:r>
        <w:t xml:space="preserve">hævet. Forsyningssekretariatet har derfor ikke hjemmel til at genoptage </w:t>
      </w:r>
      <w:r w:rsidR="001A580C">
        <w:t xml:space="preserve">opgørelsen af </w:t>
      </w:r>
      <w:r>
        <w:t>selska</w:t>
      </w:r>
      <w:r w:rsidR="001A580C">
        <w:t>bets over- eller underdækning. Spørgsmålet om ti</w:t>
      </w:r>
      <w:r w:rsidR="001A580C">
        <w:t>l</w:t>
      </w:r>
      <w:r w:rsidR="001A580C">
        <w:t xml:space="preserve">læg som 1:1-omkostninger er behandlet ovenfor. </w:t>
      </w:r>
    </w:p>
    <w:p w:rsidR="00677AF1" w:rsidP="00677AF1" w:rsidRDefault="00677AF1">
      <w:pPr>
        <w:jc w:val="both"/>
      </w:pPr>
    </w:p>
    <w:p w:rsidR="00677AF1" w:rsidP="00677AF1" w:rsidRDefault="00677AF1">
      <w:pPr>
        <w:jc w:val="both"/>
      </w:pPr>
      <w:r>
        <w:t xml:space="preserve">Der foretages derfor ingen korrektion herfor i prisloftet for 2014. </w:t>
      </w:r>
    </w:p>
    <w:p w:rsidR="00677AF1" w:rsidP="0066772C" w:rsidRDefault="00677AF1"/>
    <w:p w:rsidR="0088740F" w:rsidP="0066772C" w:rsidRDefault="0088740F"/>
    <w:p w:rsidRPr="0088740F" w:rsidR="0066772C" w:rsidP="0066772C" w:rsidRDefault="0066772C">
      <w:pPr>
        <w:rPr>
          <w:b/>
          <w:sz w:val="28"/>
          <w:szCs w:val="28"/>
        </w:rPr>
      </w:pPr>
      <w:r w:rsidRPr="0088740F">
        <w:rPr>
          <w:b/>
          <w:sz w:val="28"/>
          <w:szCs w:val="28"/>
        </w:rPr>
        <w:t>Korrektion for overholdelse af indtægtsramme</w:t>
      </w:r>
      <w:r w:rsidRPr="0088740F" w:rsidR="003F7DAB">
        <w:rPr>
          <w:b/>
          <w:sz w:val="28"/>
          <w:szCs w:val="28"/>
        </w:rPr>
        <w:t>n</w:t>
      </w:r>
      <w:r w:rsidRPr="0088740F">
        <w:rPr>
          <w:b/>
          <w:sz w:val="28"/>
          <w:szCs w:val="28"/>
        </w:rPr>
        <w:t xml:space="preserve"> i prislo</w:t>
      </w:r>
      <w:r w:rsidRPr="0088740F">
        <w:rPr>
          <w:b/>
          <w:sz w:val="28"/>
          <w:szCs w:val="28"/>
        </w:rPr>
        <w:t>f</w:t>
      </w:r>
      <w:r w:rsidRPr="0088740F">
        <w:rPr>
          <w:b/>
          <w:sz w:val="28"/>
          <w:szCs w:val="28"/>
        </w:rPr>
        <w:t>t</w:t>
      </w:r>
      <w:r w:rsidRPr="0088740F" w:rsidR="003F7DAB">
        <w:rPr>
          <w:b/>
          <w:sz w:val="28"/>
          <w:szCs w:val="28"/>
        </w:rPr>
        <w:t>et for</w:t>
      </w:r>
      <w:r w:rsidRPr="0088740F">
        <w:rPr>
          <w:b/>
          <w:sz w:val="28"/>
          <w:szCs w:val="28"/>
        </w:rPr>
        <w:t xml:space="preserve"> 2012 </w:t>
      </w:r>
    </w:p>
    <w:p w:rsidRPr="003F2158" w:rsidR="0066772C" w:rsidP="0066772C" w:rsidRDefault="0066772C">
      <w:pPr>
        <w:autoSpaceDE w:val="0"/>
        <w:autoSpaceDN w:val="0"/>
        <w:adjustRightInd w:val="0"/>
        <w:spacing w:line="240" w:lineRule="auto"/>
        <w:jc w:val="both"/>
        <w:rPr>
          <w:color w:val="000000"/>
          <w:szCs w:val="24"/>
        </w:rPr>
      </w:pPr>
      <w:r>
        <w:rPr>
          <w:color w:val="000000"/>
          <w:szCs w:val="24"/>
        </w:rPr>
        <w:t xml:space="preserve">Ifølge prisloftbekendtgørelsens § 5, stk. 2, korrigeres prisloftet for </w:t>
      </w:r>
      <w:r w:rsidRPr="003F2158">
        <w:t>en å</w:t>
      </w:r>
      <w:r w:rsidRPr="003F2158">
        <w:t>r</w:t>
      </w:r>
      <w:r w:rsidRPr="003F2158">
        <w:t>lig engangsregulering for forskellen mellem selskabets faktiske indtægter og indtægtsrammen, jf. § 6, i det år, der ligger to år forud for prisloftåret</w:t>
      </w:r>
      <w:r>
        <w:t xml:space="preserve">. </w:t>
      </w:r>
    </w:p>
    <w:p w:rsidR="0066772C" w:rsidP="0066772C" w:rsidRDefault="0066772C">
      <w:pPr>
        <w:autoSpaceDE w:val="0"/>
        <w:autoSpaceDN w:val="0"/>
        <w:adjustRightInd w:val="0"/>
        <w:spacing w:line="240" w:lineRule="auto"/>
        <w:jc w:val="both"/>
        <w:rPr>
          <w:color w:val="000000"/>
          <w:szCs w:val="24"/>
        </w:rPr>
      </w:pPr>
    </w:p>
    <w:p w:rsidR="0066772C" w:rsidP="0066772C" w:rsidRDefault="0066772C">
      <w:pPr>
        <w:autoSpaceDE w:val="0"/>
        <w:autoSpaceDN w:val="0"/>
        <w:adjustRightInd w:val="0"/>
        <w:spacing w:line="240" w:lineRule="auto"/>
        <w:jc w:val="both"/>
        <w:rPr>
          <w:color w:val="000000"/>
          <w:szCs w:val="24"/>
        </w:rPr>
      </w:pPr>
      <w:r>
        <w:rPr>
          <w:color w:val="000000"/>
          <w:szCs w:val="24"/>
        </w:rPr>
        <w:lastRenderedPageBreak/>
        <w:t>I prisloftet for 2014 omhandler denne opgørelse overholdelsen af prislo</w:t>
      </w:r>
      <w:r>
        <w:rPr>
          <w:color w:val="000000"/>
          <w:szCs w:val="24"/>
        </w:rPr>
        <w:t>f</w:t>
      </w:r>
      <w:r>
        <w:rPr>
          <w:color w:val="000000"/>
          <w:szCs w:val="24"/>
        </w:rPr>
        <w:t>tet for 2012. Hvis selskabet har haft lavere indtægter end tilladt i prislo</w:t>
      </w:r>
      <w:r>
        <w:rPr>
          <w:color w:val="000000"/>
          <w:szCs w:val="24"/>
        </w:rPr>
        <w:t>f</w:t>
      </w:r>
      <w:r w:rsidR="00AD1E33">
        <w:rPr>
          <w:color w:val="000000"/>
          <w:szCs w:val="24"/>
        </w:rPr>
        <w:t>tet for 2012, f.eks.</w:t>
      </w:r>
      <w:r>
        <w:rPr>
          <w:color w:val="000000"/>
          <w:szCs w:val="24"/>
        </w:rPr>
        <w:t xml:space="preserve"> som følge af </w:t>
      </w:r>
      <w:r w:rsidR="00AD1E33">
        <w:rPr>
          <w:color w:val="000000"/>
          <w:szCs w:val="24"/>
        </w:rPr>
        <w:t xml:space="preserve">en </w:t>
      </w:r>
      <w:r>
        <w:rPr>
          <w:color w:val="000000"/>
          <w:szCs w:val="24"/>
        </w:rPr>
        <w:t>lavere debiteret vandmængde end fo</w:t>
      </w:r>
      <w:r>
        <w:rPr>
          <w:color w:val="000000"/>
          <w:szCs w:val="24"/>
        </w:rPr>
        <w:t>r</w:t>
      </w:r>
      <w:r>
        <w:rPr>
          <w:color w:val="000000"/>
          <w:szCs w:val="24"/>
        </w:rPr>
        <w:t xml:space="preserve">ventet, vil selskabet få et tillæg til prisloftet for 2014. Modsat vil højere indtægter i 2012 end tilladt indebære et fradrag i prisloftet for 2014. </w:t>
      </w:r>
    </w:p>
    <w:p w:rsidR="0066772C" w:rsidP="0066772C" w:rsidRDefault="0066772C">
      <w:pPr>
        <w:autoSpaceDE w:val="0"/>
        <w:autoSpaceDN w:val="0"/>
        <w:adjustRightInd w:val="0"/>
        <w:spacing w:line="240" w:lineRule="auto"/>
        <w:jc w:val="both"/>
        <w:rPr>
          <w:color w:val="000000"/>
          <w:szCs w:val="24"/>
        </w:rPr>
      </w:pPr>
    </w:p>
    <w:p w:rsidR="0066772C" w:rsidP="0066772C" w:rsidRDefault="0066772C">
      <w:pPr>
        <w:autoSpaceDE w:val="0"/>
        <w:autoSpaceDN w:val="0"/>
        <w:adjustRightInd w:val="0"/>
        <w:spacing w:line="240" w:lineRule="auto"/>
        <w:jc w:val="both"/>
        <w:rPr>
          <w:color w:val="000000"/>
          <w:szCs w:val="24"/>
        </w:rPr>
      </w:pPr>
      <w:r>
        <w:rPr>
          <w:color w:val="000000"/>
          <w:szCs w:val="24"/>
        </w:rPr>
        <w:t xml:space="preserve">Det fremgår af prisloftbekendtgørelsens § 6, at følgende beløb tilsammen ikke må overstige selskabets indtægtsramme: </w:t>
      </w:r>
    </w:p>
    <w:p w:rsidR="0066772C" w:rsidP="0066772C" w:rsidRDefault="0066772C">
      <w:pPr>
        <w:numPr>
          <w:ilvl w:val="0"/>
          <w:numId w:val="20"/>
        </w:numPr>
        <w:jc w:val="both"/>
      </w:pPr>
      <w:r w:rsidRPr="003C5C9D">
        <w:t xml:space="preserve">Indtægter fra </w:t>
      </w:r>
    </w:p>
    <w:p w:rsidR="0066772C" w:rsidP="0066772C" w:rsidRDefault="0066772C">
      <w:pPr>
        <w:numPr>
          <w:ilvl w:val="1"/>
          <w:numId w:val="20"/>
        </w:numPr>
        <w:spacing w:line="240" w:lineRule="auto"/>
        <w:jc w:val="both"/>
      </w:pPr>
      <w:r w:rsidRPr="003C5C9D">
        <w:t xml:space="preserve">kubikmetertakster, </w:t>
      </w:r>
    </w:p>
    <w:p w:rsidR="0066772C" w:rsidP="0066772C" w:rsidRDefault="0066772C">
      <w:pPr>
        <w:numPr>
          <w:ilvl w:val="1"/>
          <w:numId w:val="20"/>
        </w:numPr>
        <w:spacing w:line="240" w:lineRule="auto"/>
        <w:jc w:val="both"/>
      </w:pPr>
      <w:r w:rsidRPr="003C5C9D">
        <w:t xml:space="preserve">faste takster, </w:t>
      </w:r>
    </w:p>
    <w:p w:rsidR="0066772C" w:rsidP="0066772C" w:rsidRDefault="0066772C">
      <w:pPr>
        <w:numPr>
          <w:ilvl w:val="1"/>
          <w:numId w:val="20"/>
        </w:numPr>
        <w:spacing w:line="240" w:lineRule="auto"/>
        <w:jc w:val="both"/>
      </w:pPr>
      <w:r w:rsidRPr="003C5C9D">
        <w:t xml:space="preserve">særbidrag, </w:t>
      </w:r>
    </w:p>
    <w:p w:rsidR="0066772C" w:rsidP="0066772C" w:rsidRDefault="0066772C">
      <w:pPr>
        <w:numPr>
          <w:ilvl w:val="1"/>
          <w:numId w:val="20"/>
        </w:numPr>
        <w:spacing w:line="240" w:lineRule="auto"/>
        <w:jc w:val="both"/>
      </w:pPr>
      <w:r w:rsidRPr="003C5C9D">
        <w:t xml:space="preserve">målergebyrer samt </w:t>
      </w:r>
    </w:p>
    <w:p w:rsidR="0066772C" w:rsidP="0066772C" w:rsidRDefault="0066772C">
      <w:pPr>
        <w:numPr>
          <w:ilvl w:val="1"/>
          <w:numId w:val="20"/>
        </w:numPr>
        <w:spacing w:line="240" w:lineRule="auto"/>
        <w:jc w:val="both"/>
      </w:pPr>
      <w:r w:rsidRPr="003C5C9D">
        <w:t>andre takster og gebyrer, som vedrører leveringer af ydelser o</w:t>
      </w:r>
      <w:r w:rsidRPr="003C5C9D">
        <w:t>m</w:t>
      </w:r>
      <w:r w:rsidRPr="003C5C9D">
        <w:t>fattet af § 1, stk. 2, i prisloftåret.</w:t>
      </w:r>
    </w:p>
    <w:p w:rsidR="0066772C" w:rsidP="0066772C" w:rsidRDefault="0066772C">
      <w:pPr>
        <w:spacing w:line="240" w:lineRule="auto"/>
        <w:jc w:val="both"/>
      </w:pPr>
    </w:p>
    <w:p w:rsidR="0066772C" w:rsidP="0066772C" w:rsidRDefault="0066772C">
      <w:pPr>
        <w:numPr>
          <w:ilvl w:val="0"/>
          <w:numId w:val="22"/>
        </w:numPr>
        <w:jc w:val="both"/>
      </w:pPr>
      <w:r w:rsidRPr="003C5C9D">
        <w:t xml:space="preserve">Andre indtægter i prisloftåret, som selskabet har opnået i forbindelse med eller som følge af selskabets primære aktiviteter, jf. § 1, stk. 2, herunder eksempelvis </w:t>
      </w:r>
    </w:p>
    <w:p w:rsidR="0066772C" w:rsidP="0066772C" w:rsidRDefault="0066772C">
      <w:pPr>
        <w:numPr>
          <w:ilvl w:val="1"/>
          <w:numId w:val="22"/>
        </w:numPr>
        <w:spacing w:line="240" w:lineRule="auto"/>
        <w:jc w:val="both"/>
      </w:pPr>
      <w:r w:rsidRPr="003C5C9D">
        <w:t xml:space="preserve">spildevandsselskabers indtægter fra kommunale vejbidrag, </w:t>
      </w:r>
    </w:p>
    <w:p w:rsidR="0066772C" w:rsidP="0066772C" w:rsidRDefault="0066772C">
      <w:pPr>
        <w:numPr>
          <w:ilvl w:val="1"/>
          <w:numId w:val="22"/>
        </w:numPr>
        <w:spacing w:line="240" w:lineRule="auto"/>
        <w:jc w:val="both"/>
      </w:pPr>
      <w:r w:rsidRPr="003C5C9D">
        <w:t xml:space="preserve">indtægter fra behandling af spildevand fra tømningsordninger, </w:t>
      </w:r>
    </w:p>
    <w:p w:rsidR="0066772C" w:rsidP="0066772C" w:rsidRDefault="0066772C">
      <w:pPr>
        <w:numPr>
          <w:ilvl w:val="1"/>
          <w:numId w:val="22"/>
        </w:numPr>
        <w:spacing w:line="240" w:lineRule="auto"/>
        <w:jc w:val="both"/>
      </w:pPr>
      <w:r w:rsidRPr="003C5C9D">
        <w:t xml:space="preserve">indtægter fra måleraflæsning på vegne af andre selskaber, </w:t>
      </w:r>
    </w:p>
    <w:p w:rsidR="0066772C" w:rsidP="0066772C" w:rsidRDefault="0066772C">
      <w:pPr>
        <w:numPr>
          <w:ilvl w:val="1"/>
          <w:numId w:val="22"/>
        </w:numPr>
        <w:spacing w:line="240" w:lineRule="auto"/>
        <w:jc w:val="both"/>
      </w:pPr>
      <w:r w:rsidRPr="003C5C9D">
        <w:t>udlejning af antenneplads på vandtårne eller lignende.</w:t>
      </w:r>
    </w:p>
    <w:p w:rsidR="0066772C" w:rsidP="0066772C" w:rsidRDefault="0066772C">
      <w:r>
        <w:t xml:space="preserve">Selskabets indtægtsramme for 2012 korrigeres dog </w:t>
      </w:r>
      <w:r w:rsidRPr="003C5C9D">
        <w:t>f</w:t>
      </w:r>
      <w:r>
        <w:t xml:space="preserve">or </w:t>
      </w:r>
      <w:r w:rsidRPr="003C5C9D">
        <w:t xml:space="preserve">en eventuelt ikke anvendt del af likviditeten fra investeringstillæggene, </w:t>
      </w:r>
      <w:r>
        <w:t xml:space="preserve">der opgøres som, </w:t>
      </w:r>
    </w:p>
    <w:p w:rsidR="0066772C" w:rsidP="0066772C" w:rsidRDefault="0066772C"/>
    <w:p w:rsidR="0066772C" w:rsidP="0066772C" w:rsidRDefault="0066772C">
      <w:pPr>
        <w:numPr>
          <w:ilvl w:val="1"/>
          <w:numId w:val="20"/>
        </w:numPr>
        <w:spacing w:line="240" w:lineRule="auto"/>
        <w:jc w:val="both"/>
      </w:pPr>
      <w:r>
        <w:t>det</w:t>
      </w:r>
      <w:r w:rsidRPr="00EA0896">
        <w:t xml:space="preserve"> </w:t>
      </w:r>
      <w:r>
        <w:t xml:space="preserve">samlede investeringstillæg i 2012 fra historiske og planlagte investeringer samt indtægter fra </w:t>
      </w:r>
      <w:r w:rsidRPr="003C5C9D">
        <w:t>tilslutningsbidrag</w:t>
      </w:r>
      <w:r>
        <w:t xml:space="preserve">, erstatninger vedr. anlægsinvesteringer og </w:t>
      </w:r>
      <w:r w:rsidRPr="003C5C9D">
        <w:t>salg af anlægsaktiver, jf. § 21, stk. 4</w:t>
      </w:r>
      <w:r>
        <w:t>, fratrukket</w:t>
      </w:r>
    </w:p>
    <w:p w:rsidR="0066772C" w:rsidP="0066772C" w:rsidRDefault="0066772C">
      <w:pPr>
        <w:numPr>
          <w:ilvl w:val="1"/>
          <w:numId w:val="20"/>
        </w:numPr>
        <w:spacing w:line="240" w:lineRule="auto"/>
        <w:jc w:val="both"/>
      </w:pPr>
      <w:r>
        <w:t>selskabets faktiske udgifter til investeringer, jf. § 21, stk. 3</w:t>
      </w:r>
      <w:r w:rsidR="00AD1E33">
        <w:t>,</w:t>
      </w:r>
      <w:r>
        <w:t xml:space="preserve"> og § 24. </w:t>
      </w:r>
    </w:p>
    <w:p w:rsidR="0066772C" w:rsidP="0066772C" w:rsidRDefault="0066772C"/>
    <w:p w:rsidR="0066772C" w:rsidP="0066772C" w:rsidRDefault="0066772C">
      <w:pPr>
        <w:jc w:val="both"/>
      </w:pPr>
      <w:r>
        <w:t xml:space="preserve">Hvis selskabets faktiske udgifter til investeringer i 2012 overstiger det samlede investeringstillæg for 2012 samt indtægter fra </w:t>
      </w:r>
      <w:r w:rsidRPr="003C5C9D">
        <w:t>tilslutningsbidrag</w:t>
      </w:r>
      <w:r>
        <w:t xml:space="preserve">, erstatninger vedr. anlægsinvesteringer og </w:t>
      </w:r>
      <w:r w:rsidRPr="003C5C9D">
        <w:t>salg af anlægsaktiver</w:t>
      </w:r>
      <w:r>
        <w:t>, justeres beløbet ”ikke anvendt likviditet vedr. investeringer i alt”</w:t>
      </w:r>
      <w:r w:rsidR="00EF78E6">
        <w:t>,</w:t>
      </w:r>
      <w:r>
        <w:t xml:space="preserve"> jf. tabellen n</w:t>
      </w:r>
      <w:r>
        <w:t>e</w:t>
      </w:r>
      <w:r>
        <w:t>denfor til 0. Det skyldes, at investeringsudgifter alene kan finansieres med likviditet fra det i § 24, stk. 1</w:t>
      </w:r>
      <w:r w:rsidR="00EF78E6">
        <w:t>,</w:t>
      </w:r>
      <w:r>
        <w:t xml:space="preserve"> nævnte tillæg og indtægter. </w:t>
      </w:r>
    </w:p>
    <w:p w:rsidR="0066772C" w:rsidP="0066772C" w:rsidRDefault="0066772C">
      <w:pPr>
        <w:jc w:val="both"/>
        <w:rPr>
          <w:color w:val="000000"/>
          <w:szCs w:val="24"/>
        </w:rPr>
      </w:pPr>
    </w:p>
    <w:p w:rsidR="0066772C" w:rsidP="0066772C" w:rsidRDefault="0066772C">
      <w:pPr>
        <w:jc w:val="both"/>
      </w:pPr>
      <w:r w:rsidRPr="00AC299A">
        <w:t xml:space="preserve">For selskabet </w:t>
      </w:r>
      <w:r>
        <w:t>er opgørelsen vedrørende overholdelsen af indtægtsra</w:t>
      </w:r>
      <w:r>
        <w:t>m</w:t>
      </w:r>
      <w:r>
        <w:t xml:space="preserve">men i prisloftet for 2012 foretaget således </w:t>
      </w:r>
      <w:r w:rsidRPr="00AC299A">
        <w:t xml:space="preserve">(baseret på </w:t>
      </w:r>
      <w:r>
        <w:t>oplysninger fra se</w:t>
      </w:r>
      <w:r>
        <w:t>l</w:t>
      </w:r>
      <w:r>
        <w:t>skabets prisloft for 2012 samt indberettede oplysninger i regulerings- og investeringsregnskaberne for 2012)</w:t>
      </w:r>
      <w:r w:rsidRPr="004B7C3F">
        <w:t>:</w:t>
      </w:r>
    </w:p>
    <w:p w:rsidRPr="00AC299A" w:rsidR="0066772C" w:rsidP="0066772C" w:rsidRDefault="0066772C">
      <w:pPr>
        <w:jc w:val="both"/>
      </w:pPr>
    </w:p>
    <w:tbl>
      <w:tblPr>
        <w:tblW w:w="604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61"/>
        <w:gridCol w:w="1128"/>
        <w:gridCol w:w="274"/>
        <w:gridCol w:w="153"/>
        <w:gridCol w:w="272"/>
        <w:gridCol w:w="863"/>
        <w:gridCol w:w="415"/>
        <w:gridCol w:w="422"/>
      </w:tblGrid>
      <w:tr w:rsidRPr="00257DE4" w:rsidR="0066772C" w:rsidTr="0058657E">
        <w:tc>
          <w:tcPr>
            <w:tcW w:w="2993"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szCs w:val="22"/>
              </w:rPr>
            </w:pPr>
            <w:r w:rsidRPr="00257DE4">
              <w:rPr>
                <w:b/>
                <w:sz w:val="22"/>
                <w:szCs w:val="22"/>
              </w:rPr>
              <w:lastRenderedPageBreak/>
              <w:t>Indtægtsramme 201</w:t>
            </w:r>
            <w:r>
              <w:rPr>
                <w:b/>
                <w:sz w:val="22"/>
                <w:szCs w:val="22"/>
              </w:rPr>
              <w:t>2</w:t>
            </w:r>
          </w:p>
        </w:tc>
        <w:tc>
          <w:tcPr>
            <w:tcW w:w="642"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43"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646"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476"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58657E">
        <w:tc>
          <w:tcPr>
            <w:tcW w:w="4033" w:type="pct"/>
            <w:gridSpan w:val="5"/>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20"/>
              </w:rPr>
              <w:t>Indtægtsramme i prisloft for 201</w:t>
            </w:r>
            <w:r w:rsidR="006B1426">
              <w:rPr>
                <w:sz w:val="20"/>
              </w:rPr>
              <w:t>2</w:t>
            </w:r>
          </w:p>
        </w:tc>
        <w:tc>
          <w:tcPr>
            <w:tcW w:w="726" w:type="pct"/>
            <w:gridSpan w:val="2"/>
            <w:tcBorders>
              <w:top w:val="single" w:color="auto" w:sz="4" w:space="0"/>
              <w:left w:val="nil"/>
              <w:bottom w:val="single" w:color="auto" w:sz="4" w:space="0"/>
              <w:right w:val="single" w:color="auto" w:sz="4" w:space="0"/>
            </w:tcBorders>
            <w:shd w:val="pct12" w:color="auto" w:fill="auto"/>
          </w:tcPr>
          <w:p w:rsidRPr="00257DE4" w:rsidR="0066772C" w:rsidP="00455CE1" w:rsidRDefault="00DB6AB9">
            <w:pPr>
              <w:keepNext/>
              <w:jc w:val="right"/>
              <w:rPr>
                <w:sz w:val="20"/>
              </w:rPr>
            </w:pPr>
            <w:r w:rsidRPr="00DB6AB9">
              <w:rPr>
                <w:sz w:val="20"/>
              </w:rPr>
              <w:t>69.766.277</w:t>
            </w:r>
          </w:p>
        </w:tc>
        <w:tc>
          <w:tcPr>
            <w:tcW w:w="241"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58657E">
        <w:tc>
          <w:tcPr>
            <w:tcW w:w="5000" w:type="pct"/>
            <w:gridSpan w:val="8"/>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Ikke anvendt likviditet vedrørende investeringer i 201</w:t>
            </w:r>
            <w:r>
              <w:rPr>
                <w:b/>
                <w:sz w:val="22"/>
              </w:rPr>
              <w:t>2</w:t>
            </w:r>
          </w:p>
        </w:tc>
      </w:tr>
      <w:tr w:rsidRPr="00257DE4" w:rsidR="0066772C" w:rsidTr="0058657E">
        <w:tc>
          <w:tcPr>
            <w:tcW w:w="2993"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 xml:space="preserve">Tillæg for historiske investeringer </w:t>
            </w:r>
          </w:p>
        </w:tc>
        <w:tc>
          <w:tcPr>
            <w:tcW w:w="798"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DB6AB9">
            <w:pPr>
              <w:keepNext/>
              <w:jc w:val="right"/>
              <w:rPr>
                <w:sz w:val="20"/>
              </w:rPr>
            </w:pPr>
            <w:r w:rsidRPr="00DB6AB9">
              <w:rPr>
                <w:sz w:val="20"/>
              </w:rPr>
              <w:t>36.651.220</w:t>
            </w:r>
          </w:p>
        </w:tc>
        <w:tc>
          <w:tcPr>
            <w:tcW w:w="242" w:type="pct"/>
            <w:gridSpan w:val="2"/>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67" w:type="pct"/>
            <w:gridSpan w:val="3"/>
            <w:vMerge w:val="restart"/>
            <w:tcBorders>
              <w:top w:val="single" w:color="auto" w:sz="4" w:space="0"/>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58657E">
        <w:tc>
          <w:tcPr>
            <w:tcW w:w="2993"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Pr>
                <w:sz w:val="20"/>
              </w:rPr>
              <w:t>Tillæg for gennemførte investeringer i 2010</w:t>
            </w:r>
          </w:p>
        </w:tc>
        <w:tc>
          <w:tcPr>
            <w:tcW w:w="798"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DB6AB9">
            <w:pPr>
              <w:keepNext/>
              <w:jc w:val="right"/>
              <w:rPr>
                <w:sz w:val="20"/>
              </w:rPr>
            </w:pPr>
            <w:r w:rsidRPr="00DB6AB9">
              <w:rPr>
                <w:sz w:val="20"/>
              </w:rPr>
              <w:t>1.668.457</w:t>
            </w:r>
          </w:p>
        </w:tc>
        <w:tc>
          <w:tcPr>
            <w:tcW w:w="242" w:type="pct"/>
            <w:gridSpan w:val="2"/>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67" w:type="pct"/>
            <w:gridSpan w:val="3"/>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58657E">
        <w:tc>
          <w:tcPr>
            <w:tcW w:w="2993"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Pr>
                <w:sz w:val="20"/>
              </w:rPr>
              <w:t>Korrektion af tillæg for planlagte investeringer i 2010</w:t>
            </w:r>
          </w:p>
        </w:tc>
        <w:tc>
          <w:tcPr>
            <w:tcW w:w="798"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DB6AB9">
            <w:pPr>
              <w:keepNext/>
              <w:jc w:val="right"/>
              <w:rPr>
                <w:sz w:val="20"/>
              </w:rPr>
            </w:pPr>
            <w:r w:rsidRPr="00DB6AB9">
              <w:rPr>
                <w:sz w:val="20"/>
              </w:rPr>
              <w:t>-299.033</w:t>
            </w:r>
          </w:p>
        </w:tc>
        <w:tc>
          <w:tcPr>
            <w:tcW w:w="242" w:type="pct"/>
            <w:gridSpan w:val="2"/>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67" w:type="pct"/>
            <w:gridSpan w:val="3"/>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58657E">
        <w:tc>
          <w:tcPr>
            <w:tcW w:w="2993"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Pr>
                <w:sz w:val="20"/>
              </w:rPr>
              <w:t>Tillæg for planlagte investeringer i 2011 og 2012</w:t>
            </w:r>
          </w:p>
        </w:tc>
        <w:tc>
          <w:tcPr>
            <w:tcW w:w="798"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DB6AB9">
            <w:pPr>
              <w:keepNext/>
              <w:jc w:val="right"/>
              <w:rPr>
                <w:sz w:val="20"/>
              </w:rPr>
            </w:pPr>
            <w:r w:rsidRPr="00DB6AB9">
              <w:rPr>
                <w:sz w:val="20"/>
              </w:rPr>
              <w:t>2.188.433</w:t>
            </w:r>
          </w:p>
        </w:tc>
        <w:tc>
          <w:tcPr>
            <w:tcW w:w="242" w:type="pct"/>
            <w:gridSpan w:val="2"/>
            <w:tcBorders>
              <w:top w:val="single" w:color="auto" w:sz="4" w:space="0"/>
              <w:left w:val="nil"/>
              <w:bottom w:val="single" w:color="auto" w:sz="4" w:space="0"/>
              <w:right w:val="single" w:color="auto" w:sz="4" w:space="0"/>
            </w:tcBorders>
            <w:shd w:val="clear" w:color="auto" w:fill="auto"/>
          </w:tcPr>
          <w:p w:rsidRPr="00257DE4" w:rsidR="0066772C" w:rsidP="00455CE1" w:rsidRDefault="0066772C">
            <w:pPr>
              <w:keepNext/>
              <w:rPr>
                <w:sz w:val="18"/>
                <w:szCs w:val="18"/>
              </w:rPr>
            </w:pPr>
            <w:r w:rsidRPr="00257DE4">
              <w:rPr>
                <w:sz w:val="18"/>
                <w:szCs w:val="18"/>
              </w:rPr>
              <w:t>kr.</w:t>
            </w:r>
          </w:p>
        </w:tc>
        <w:tc>
          <w:tcPr>
            <w:tcW w:w="967" w:type="pct"/>
            <w:gridSpan w:val="3"/>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58657E">
        <w:tc>
          <w:tcPr>
            <w:tcW w:w="2993"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tilslutningsbidrag</w:t>
            </w:r>
          </w:p>
        </w:tc>
        <w:tc>
          <w:tcPr>
            <w:tcW w:w="798"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723F73">
            <w:pPr>
              <w:keepNext/>
              <w:jc w:val="right"/>
              <w:rPr>
                <w:sz w:val="20"/>
              </w:rPr>
            </w:pPr>
            <w:r>
              <w:rPr>
                <w:sz w:val="20"/>
              </w:rPr>
              <w:t>1.679.373</w:t>
            </w:r>
          </w:p>
        </w:tc>
        <w:tc>
          <w:tcPr>
            <w:tcW w:w="242" w:type="pct"/>
            <w:gridSpan w:val="2"/>
            <w:tcBorders>
              <w:top w:val="single" w:color="auto" w:sz="4" w:space="0"/>
              <w:left w:val="nil"/>
              <w:bottom w:val="single" w:color="auto" w:sz="4" w:space="0"/>
              <w:right w:val="single" w:color="auto" w:sz="4" w:space="0"/>
            </w:tcBorders>
            <w:shd w:val="clear" w:color="auto" w:fill="auto"/>
          </w:tcPr>
          <w:p w:rsidRPr="00257DE4" w:rsidR="0066772C" w:rsidP="00455CE1" w:rsidRDefault="0066772C">
            <w:pPr>
              <w:keepNext/>
              <w:rPr>
                <w:sz w:val="18"/>
                <w:szCs w:val="18"/>
              </w:rPr>
            </w:pPr>
            <w:r w:rsidRPr="00257DE4">
              <w:rPr>
                <w:sz w:val="18"/>
                <w:szCs w:val="18"/>
              </w:rPr>
              <w:t>kr.</w:t>
            </w:r>
          </w:p>
        </w:tc>
        <w:tc>
          <w:tcPr>
            <w:tcW w:w="967" w:type="pct"/>
            <w:gridSpan w:val="3"/>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58657E">
        <w:tc>
          <w:tcPr>
            <w:tcW w:w="2993"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salg af anlægsaktiver</w:t>
            </w:r>
          </w:p>
        </w:tc>
        <w:tc>
          <w:tcPr>
            <w:tcW w:w="798"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723F73">
            <w:pPr>
              <w:keepNext/>
              <w:jc w:val="right"/>
              <w:rPr>
                <w:sz w:val="20"/>
              </w:rPr>
            </w:pPr>
            <w:r>
              <w:rPr>
                <w:sz w:val="20"/>
              </w:rPr>
              <w:t>65.000</w:t>
            </w:r>
          </w:p>
        </w:tc>
        <w:tc>
          <w:tcPr>
            <w:tcW w:w="242" w:type="pct"/>
            <w:gridSpan w:val="2"/>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67" w:type="pct"/>
            <w:gridSpan w:val="3"/>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58657E">
        <w:tc>
          <w:tcPr>
            <w:tcW w:w="2993"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Erstatninger vedr. anlægsaktiver mv.</w:t>
            </w:r>
          </w:p>
        </w:tc>
        <w:tc>
          <w:tcPr>
            <w:tcW w:w="798"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1417F8">
            <w:pPr>
              <w:keepNext/>
              <w:jc w:val="right"/>
              <w:rPr>
                <w:sz w:val="20"/>
              </w:rPr>
            </w:pPr>
            <w:r>
              <w:rPr>
                <w:sz w:val="20"/>
              </w:rPr>
              <w:t>0</w:t>
            </w:r>
          </w:p>
        </w:tc>
        <w:tc>
          <w:tcPr>
            <w:tcW w:w="242" w:type="pct"/>
            <w:gridSpan w:val="2"/>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67" w:type="pct"/>
            <w:gridSpan w:val="3"/>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58657E">
        <w:tc>
          <w:tcPr>
            <w:tcW w:w="2993"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6B1426" w:rsidRDefault="006B1426">
            <w:pPr>
              <w:keepNext/>
              <w:rPr>
                <w:sz w:val="20"/>
              </w:rPr>
            </w:pPr>
            <w:r>
              <w:rPr>
                <w:sz w:val="20"/>
              </w:rPr>
              <w:t>Ekstraordinær</w:t>
            </w:r>
            <w:r w:rsidR="0066772C">
              <w:rPr>
                <w:sz w:val="20"/>
              </w:rPr>
              <w:t xml:space="preserve"> effektiviserings</w:t>
            </w:r>
            <w:r>
              <w:rPr>
                <w:sz w:val="20"/>
              </w:rPr>
              <w:t>gevinst</w:t>
            </w:r>
            <w:r w:rsidR="0066772C">
              <w:rPr>
                <w:sz w:val="20"/>
              </w:rPr>
              <w:t xml:space="preserve"> anvendt til investeringer</w:t>
            </w:r>
          </w:p>
        </w:tc>
        <w:tc>
          <w:tcPr>
            <w:tcW w:w="798"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1417F8">
            <w:pPr>
              <w:keepNext/>
              <w:jc w:val="right"/>
              <w:rPr>
                <w:sz w:val="20"/>
              </w:rPr>
            </w:pPr>
            <w:r>
              <w:rPr>
                <w:sz w:val="20"/>
              </w:rPr>
              <w:t>0</w:t>
            </w:r>
          </w:p>
        </w:tc>
        <w:tc>
          <w:tcPr>
            <w:tcW w:w="242" w:type="pct"/>
            <w:gridSpan w:val="2"/>
            <w:tcBorders>
              <w:top w:val="single" w:color="auto" w:sz="4" w:space="0"/>
              <w:left w:val="nil"/>
              <w:bottom w:val="single" w:color="auto" w:sz="4" w:space="0"/>
              <w:right w:val="single" w:color="auto" w:sz="4" w:space="0"/>
            </w:tcBorders>
            <w:shd w:val="clear" w:color="auto" w:fill="auto"/>
          </w:tcPr>
          <w:p w:rsidRPr="00257DE4" w:rsidR="0066772C" w:rsidP="00455CE1" w:rsidRDefault="0066772C">
            <w:pPr>
              <w:keepNext/>
              <w:rPr>
                <w:sz w:val="18"/>
                <w:szCs w:val="18"/>
              </w:rPr>
            </w:pPr>
            <w:r>
              <w:rPr>
                <w:sz w:val="18"/>
                <w:szCs w:val="18"/>
              </w:rPr>
              <w:t>kr.</w:t>
            </w:r>
          </w:p>
        </w:tc>
        <w:tc>
          <w:tcPr>
            <w:tcW w:w="967" w:type="pct"/>
            <w:gridSpan w:val="3"/>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58657E">
        <w:tc>
          <w:tcPr>
            <w:tcW w:w="2993"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Udgifter til investeringer</w:t>
            </w:r>
          </w:p>
        </w:tc>
        <w:tc>
          <w:tcPr>
            <w:tcW w:w="798"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723F73">
            <w:pPr>
              <w:keepNext/>
              <w:jc w:val="right"/>
              <w:rPr>
                <w:sz w:val="20"/>
              </w:rPr>
            </w:pPr>
            <w:r>
              <w:rPr>
                <w:sz w:val="20"/>
              </w:rPr>
              <w:t>-41.953.449</w:t>
            </w:r>
          </w:p>
        </w:tc>
        <w:tc>
          <w:tcPr>
            <w:tcW w:w="242" w:type="pct"/>
            <w:gridSpan w:val="2"/>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67" w:type="pct"/>
            <w:gridSpan w:val="3"/>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58657E">
        <w:tc>
          <w:tcPr>
            <w:tcW w:w="2993"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20"/>
              </w:rPr>
            </w:pPr>
            <w:r w:rsidRPr="00257DE4">
              <w:rPr>
                <w:sz w:val="20"/>
              </w:rPr>
              <w:t>Ikke anvendt likviditet vedr. investeringer i alt</w:t>
            </w:r>
          </w:p>
        </w:tc>
        <w:tc>
          <w:tcPr>
            <w:tcW w:w="798" w:type="pct"/>
            <w:gridSpan w:val="2"/>
            <w:tcBorders>
              <w:top w:val="single" w:color="auto" w:sz="4" w:space="0"/>
              <w:left w:val="single" w:color="auto" w:sz="4" w:space="0"/>
              <w:bottom w:val="single" w:color="auto" w:sz="4" w:space="0"/>
              <w:right w:val="nil"/>
            </w:tcBorders>
            <w:shd w:val="pct12" w:color="auto" w:fill="auto"/>
          </w:tcPr>
          <w:p w:rsidRPr="00257DE4" w:rsidR="0066772C" w:rsidP="00455CE1" w:rsidRDefault="00723F73">
            <w:pPr>
              <w:keepNext/>
              <w:jc w:val="right"/>
              <w:rPr>
                <w:sz w:val="20"/>
              </w:rPr>
            </w:pPr>
            <w:r>
              <w:rPr>
                <w:sz w:val="20"/>
              </w:rPr>
              <w:t>0</w:t>
            </w:r>
          </w:p>
        </w:tc>
        <w:tc>
          <w:tcPr>
            <w:tcW w:w="242" w:type="pct"/>
            <w:gridSpan w:val="2"/>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727" w:type="pct"/>
            <w:gridSpan w:val="2"/>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jc w:val="right"/>
              <w:rPr>
                <w:sz w:val="20"/>
              </w:rPr>
            </w:pPr>
            <w:r w:rsidRPr="00257DE4">
              <w:rPr>
                <w:sz w:val="20"/>
              </w:rPr>
              <w:t>-</w:t>
            </w:r>
            <w:r w:rsidR="00723F73">
              <w:rPr>
                <w:sz w:val="20"/>
              </w:rPr>
              <w:t>0</w:t>
            </w:r>
          </w:p>
        </w:tc>
        <w:tc>
          <w:tcPr>
            <w:tcW w:w="240"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58657E">
        <w:tc>
          <w:tcPr>
            <w:tcW w:w="2993"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Pr>
                <w:b/>
                <w:sz w:val="22"/>
              </w:rPr>
              <w:t>Ekstraordinære effektiviseringsgevinster anvendt til takstnedsættelse</w:t>
            </w:r>
          </w:p>
        </w:tc>
        <w:tc>
          <w:tcPr>
            <w:tcW w:w="798"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42"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727"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40"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58657E">
        <w:tc>
          <w:tcPr>
            <w:tcW w:w="2993"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6B1426" w:rsidRDefault="0066772C">
            <w:pPr>
              <w:keepNext/>
              <w:rPr>
                <w:sz w:val="20"/>
              </w:rPr>
            </w:pPr>
            <w:r>
              <w:rPr>
                <w:sz w:val="20"/>
              </w:rPr>
              <w:t>Ekstraordinær effektiviseringsgevinst anvendt til takstnedsæ</w:t>
            </w:r>
            <w:r>
              <w:rPr>
                <w:sz w:val="20"/>
              </w:rPr>
              <w:t>t</w:t>
            </w:r>
            <w:r>
              <w:rPr>
                <w:sz w:val="20"/>
              </w:rPr>
              <w:t>telse</w:t>
            </w:r>
          </w:p>
        </w:tc>
        <w:tc>
          <w:tcPr>
            <w:tcW w:w="798" w:type="pct"/>
            <w:gridSpan w:val="2"/>
            <w:tcBorders>
              <w:top w:val="single" w:color="auto" w:sz="4" w:space="0"/>
              <w:left w:val="single" w:color="auto" w:sz="4" w:space="0"/>
              <w:bottom w:val="single" w:color="auto" w:sz="4" w:space="0"/>
              <w:right w:val="nil"/>
            </w:tcBorders>
            <w:shd w:val="pct12" w:color="auto" w:fill="auto"/>
          </w:tcPr>
          <w:p w:rsidRPr="00257DE4" w:rsidR="0066772C" w:rsidP="00455CE1" w:rsidRDefault="00723F73">
            <w:pPr>
              <w:keepNext/>
              <w:jc w:val="right"/>
              <w:rPr>
                <w:sz w:val="20"/>
              </w:rPr>
            </w:pPr>
            <w:r>
              <w:rPr>
                <w:sz w:val="20"/>
              </w:rPr>
              <w:t>0</w:t>
            </w:r>
          </w:p>
        </w:tc>
        <w:tc>
          <w:tcPr>
            <w:tcW w:w="242" w:type="pct"/>
            <w:gridSpan w:val="2"/>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727" w:type="pct"/>
            <w:gridSpan w:val="2"/>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jc w:val="right"/>
              <w:rPr>
                <w:sz w:val="20"/>
              </w:rPr>
            </w:pPr>
            <w:r w:rsidRPr="00257DE4">
              <w:rPr>
                <w:sz w:val="20"/>
              </w:rPr>
              <w:t>-</w:t>
            </w:r>
            <w:r w:rsidR="00723F73">
              <w:rPr>
                <w:sz w:val="20"/>
              </w:rPr>
              <w:t>0</w:t>
            </w:r>
          </w:p>
        </w:tc>
        <w:tc>
          <w:tcPr>
            <w:tcW w:w="240"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58657E">
        <w:tc>
          <w:tcPr>
            <w:tcW w:w="2993"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Indtægter fra primære aktiviteter mv.</w:t>
            </w:r>
          </w:p>
        </w:tc>
        <w:tc>
          <w:tcPr>
            <w:tcW w:w="798"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42"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491"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476"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58657E">
        <w:tc>
          <w:tcPr>
            <w:tcW w:w="2993"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kubikmetertakster, faste takster, særbidrag, m</w:t>
            </w:r>
            <w:r w:rsidRPr="00257DE4">
              <w:rPr>
                <w:sz w:val="20"/>
              </w:rPr>
              <w:t>å</w:t>
            </w:r>
            <w:r w:rsidRPr="00257DE4">
              <w:rPr>
                <w:sz w:val="20"/>
              </w:rPr>
              <w:t>lergebyrer samt andre takster og gebyrer</w:t>
            </w:r>
          </w:p>
        </w:tc>
        <w:tc>
          <w:tcPr>
            <w:tcW w:w="798"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723F73">
            <w:pPr>
              <w:keepNext/>
              <w:jc w:val="right"/>
              <w:rPr>
                <w:sz w:val="20"/>
              </w:rPr>
            </w:pPr>
            <w:r>
              <w:rPr>
                <w:sz w:val="20"/>
              </w:rPr>
              <w:t>66.116.728</w:t>
            </w:r>
          </w:p>
        </w:tc>
        <w:tc>
          <w:tcPr>
            <w:tcW w:w="242" w:type="pct"/>
            <w:gridSpan w:val="2"/>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67" w:type="pct"/>
            <w:gridSpan w:val="3"/>
            <w:vMerge w:val="restart"/>
            <w:tcBorders>
              <w:top w:val="single" w:color="auto" w:sz="4" w:space="0"/>
              <w:left w:val="nil"/>
              <w:right w:val="single" w:color="auto" w:sz="4" w:space="0"/>
            </w:tcBorders>
            <w:shd w:val="clear" w:color="auto" w:fill="auto"/>
          </w:tcPr>
          <w:p w:rsidRPr="00257DE4" w:rsidR="0066772C" w:rsidP="00455CE1" w:rsidRDefault="0066772C">
            <w:pPr>
              <w:keepNext/>
              <w:rPr>
                <w:sz w:val="18"/>
                <w:szCs w:val="18"/>
              </w:rPr>
            </w:pPr>
          </w:p>
        </w:tc>
      </w:tr>
      <w:tr w:rsidRPr="00257DE4" w:rsidR="0066772C" w:rsidTr="0058657E">
        <w:tc>
          <w:tcPr>
            <w:tcW w:w="2993"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Andre indtægter i prisloftåret, som selskabet har opnået i fo</w:t>
            </w:r>
            <w:r w:rsidRPr="00257DE4">
              <w:rPr>
                <w:sz w:val="20"/>
              </w:rPr>
              <w:t>r</w:t>
            </w:r>
            <w:r w:rsidRPr="00257DE4">
              <w:rPr>
                <w:sz w:val="20"/>
              </w:rPr>
              <w:t>bindelse med eller som følge af selskabets primære aktiviteter</w:t>
            </w:r>
          </w:p>
        </w:tc>
        <w:tc>
          <w:tcPr>
            <w:tcW w:w="798" w:type="pct"/>
            <w:gridSpan w:val="2"/>
            <w:tcBorders>
              <w:top w:val="single" w:color="auto" w:sz="4" w:space="0"/>
              <w:left w:val="single" w:color="auto" w:sz="4" w:space="0"/>
              <w:bottom w:val="single" w:color="auto" w:sz="4" w:space="0"/>
              <w:right w:val="nil"/>
            </w:tcBorders>
            <w:shd w:val="clear" w:color="auto" w:fill="auto"/>
          </w:tcPr>
          <w:p w:rsidRPr="00723F73" w:rsidR="0066772C" w:rsidP="00455CE1" w:rsidRDefault="00723F73">
            <w:pPr>
              <w:keepNext/>
              <w:jc w:val="right"/>
              <w:rPr>
                <w:sz w:val="20"/>
              </w:rPr>
            </w:pPr>
            <w:r w:rsidRPr="00723F73">
              <w:rPr>
                <w:sz w:val="20"/>
              </w:rPr>
              <w:t>875.000</w:t>
            </w:r>
          </w:p>
        </w:tc>
        <w:tc>
          <w:tcPr>
            <w:tcW w:w="242" w:type="pct"/>
            <w:gridSpan w:val="2"/>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967" w:type="pct"/>
            <w:gridSpan w:val="3"/>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58657E">
        <w:tc>
          <w:tcPr>
            <w:tcW w:w="2993"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20"/>
              </w:rPr>
            </w:pPr>
            <w:r w:rsidRPr="00257DE4">
              <w:rPr>
                <w:sz w:val="20"/>
              </w:rPr>
              <w:t>Indtægter fra primære aktiviteter mv. i alt</w:t>
            </w:r>
          </w:p>
        </w:tc>
        <w:tc>
          <w:tcPr>
            <w:tcW w:w="798" w:type="pct"/>
            <w:gridSpan w:val="2"/>
            <w:tcBorders>
              <w:top w:val="single" w:color="auto" w:sz="4" w:space="0"/>
              <w:left w:val="single" w:color="auto" w:sz="4" w:space="0"/>
              <w:bottom w:val="single" w:color="auto" w:sz="4" w:space="0"/>
              <w:right w:val="nil"/>
            </w:tcBorders>
            <w:shd w:val="pct12" w:color="auto" w:fill="auto"/>
          </w:tcPr>
          <w:p w:rsidRPr="00257DE4" w:rsidR="0066772C" w:rsidP="00455CE1" w:rsidRDefault="00723F73">
            <w:pPr>
              <w:keepNext/>
              <w:jc w:val="right"/>
              <w:rPr>
                <w:sz w:val="20"/>
              </w:rPr>
            </w:pPr>
            <w:r>
              <w:rPr>
                <w:sz w:val="20"/>
              </w:rPr>
              <w:t>66.991.728</w:t>
            </w:r>
          </w:p>
        </w:tc>
        <w:tc>
          <w:tcPr>
            <w:tcW w:w="242" w:type="pct"/>
            <w:gridSpan w:val="2"/>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727" w:type="pct"/>
            <w:gridSpan w:val="2"/>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jc w:val="right"/>
              <w:rPr>
                <w:sz w:val="20"/>
              </w:rPr>
            </w:pPr>
            <w:r w:rsidRPr="00257DE4">
              <w:rPr>
                <w:sz w:val="20"/>
              </w:rPr>
              <w:t>-</w:t>
            </w:r>
            <w:r w:rsidR="00723F73">
              <w:rPr>
                <w:sz w:val="20"/>
              </w:rPr>
              <w:t>66.991.728</w:t>
            </w:r>
          </w:p>
        </w:tc>
        <w:tc>
          <w:tcPr>
            <w:tcW w:w="240"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723F73" w:rsidR="0066772C" w:rsidTr="0058657E">
        <w:tc>
          <w:tcPr>
            <w:tcW w:w="5000" w:type="pct"/>
            <w:gridSpan w:val="8"/>
            <w:tcBorders>
              <w:top w:val="single" w:color="auto" w:sz="4" w:space="0"/>
              <w:left w:val="single" w:color="auto" w:sz="4" w:space="0"/>
              <w:bottom w:val="single" w:color="auto" w:sz="4" w:space="0"/>
              <w:right w:val="single" w:color="auto" w:sz="4" w:space="0"/>
            </w:tcBorders>
            <w:shd w:val="solid" w:color="auto" w:fill="auto"/>
          </w:tcPr>
          <w:p w:rsidRPr="00723F73" w:rsidR="0066772C" w:rsidP="00455CE1" w:rsidRDefault="0066772C">
            <w:pPr>
              <w:keepNext/>
              <w:rPr>
                <w:b/>
                <w:sz w:val="22"/>
              </w:rPr>
            </w:pPr>
            <w:r w:rsidRPr="00723F73">
              <w:rPr>
                <w:b/>
                <w:sz w:val="22"/>
              </w:rPr>
              <w:t>Samlet opgørelse vedrørende overholdelse af prisloftet for 2012</w:t>
            </w:r>
          </w:p>
        </w:tc>
      </w:tr>
      <w:tr w:rsidRPr="00723F73" w:rsidR="0066772C" w:rsidTr="0058657E">
        <w:tc>
          <w:tcPr>
            <w:tcW w:w="4033" w:type="pct"/>
            <w:gridSpan w:val="5"/>
            <w:tcBorders>
              <w:top w:val="single" w:color="auto" w:sz="4" w:space="0"/>
              <w:left w:val="single" w:color="auto" w:sz="4" w:space="0"/>
              <w:bottom w:val="single" w:color="auto" w:sz="4" w:space="0"/>
              <w:right w:val="single" w:color="auto" w:sz="4" w:space="0"/>
            </w:tcBorders>
            <w:shd w:val="pct12" w:color="auto" w:fill="auto"/>
          </w:tcPr>
          <w:p w:rsidRPr="00723F73" w:rsidR="0066772C" w:rsidP="00455CE1" w:rsidRDefault="0066772C">
            <w:pPr>
              <w:keepNext/>
              <w:rPr>
                <w:sz w:val="18"/>
                <w:szCs w:val="18"/>
              </w:rPr>
            </w:pPr>
            <w:r w:rsidRPr="00723F73">
              <w:rPr>
                <w:sz w:val="20"/>
              </w:rPr>
              <w:t xml:space="preserve">Beløb til </w:t>
            </w:r>
            <w:r w:rsidRPr="00723F73" w:rsidR="006B1426">
              <w:rPr>
                <w:sz w:val="20"/>
              </w:rPr>
              <w:t>indregning i prisloftet for 2014</w:t>
            </w:r>
            <w:r w:rsidRPr="00723F73">
              <w:rPr>
                <w:sz w:val="20"/>
              </w:rPr>
              <w:t xml:space="preserve"> i alt</w:t>
            </w:r>
          </w:p>
        </w:tc>
        <w:tc>
          <w:tcPr>
            <w:tcW w:w="727" w:type="pct"/>
            <w:gridSpan w:val="2"/>
            <w:tcBorders>
              <w:top w:val="single" w:color="auto" w:sz="4" w:space="0"/>
              <w:left w:val="nil"/>
              <w:bottom w:val="single" w:color="auto" w:sz="4" w:space="0"/>
              <w:right w:val="single" w:color="auto" w:sz="4" w:space="0"/>
            </w:tcBorders>
            <w:shd w:val="pct12" w:color="auto" w:fill="auto"/>
          </w:tcPr>
          <w:p w:rsidRPr="00723F73" w:rsidR="0066772C" w:rsidP="00723F73" w:rsidRDefault="00723F73">
            <w:pPr>
              <w:keepNext/>
              <w:jc w:val="right"/>
              <w:rPr>
                <w:sz w:val="20"/>
              </w:rPr>
            </w:pPr>
            <w:bookmarkStart w:name="KorrIndt" w:id="23"/>
            <w:r w:rsidRPr="00723F73">
              <w:rPr>
                <w:sz w:val="20"/>
              </w:rPr>
              <w:t>2.774.548</w:t>
            </w:r>
            <w:bookmarkEnd w:id="23"/>
          </w:p>
        </w:tc>
        <w:tc>
          <w:tcPr>
            <w:tcW w:w="240" w:type="pct"/>
            <w:tcBorders>
              <w:top w:val="single" w:color="auto" w:sz="4" w:space="0"/>
              <w:left w:val="nil"/>
              <w:bottom w:val="single" w:color="auto" w:sz="4" w:space="0"/>
              <w:right w:val="single" w:color="auto" w:sz="4" w:space="0"/>
            </w:tcBorders>
            <w:shd w:val="pct12" w:color="auto" w:fill="auto"/>
          </w:tcPr>
          <w:p w:rsidRPr="00723F73" w:rsidR="0066772C" w:rsidP="00455CE1" w:rsidRDefault="0066772C">
            <w:pPr>
              <w:keepNext/>
              <w:rPr>
                <w:sz w:val="18"/>
                <w:szCs w:val="18"/>
              </w:rPr>
            </w:pPr>
            <w:r w:rsidRPr="00723F73">
              <w:rPr>
                <w:sz w:val="18"/>
                <w:szCs w:val="18"/>
              </w:rPr>
              <w:t>kr.</w:t>
            </w:r>
          </w:p>
        </w:tc>
      </w:tr>
    </w:tbl>
    <w:p w:rsidRPr="00723F73" w:rsidR="0066772C" w:rsidP="0066772C" w:rsidRDefault="0066772C">
      <w:pPr>
        <w:autoSpaceDE w:val="0"/>
        <w:autoSpaceDN w:val="0"/>
        <w:adjustRightInd w:val="0"/>
        <w:spacing w:line="240" w:lineRule="auto"/>
        <w:jc w:val="both"/>
        <w:rPr>
          <w:color w:val="000000"/>
          <w:szCs w:val="24"/>
        </w:rPr>
      </w:pPr>
    </w:p>
    <w:p w:rsidR="0066772C" w:rsidP="0066772C" w:rsidRDefault="0066772C">
      <w:pPr>
        <w:autoSpaceDE w:val="0"/>
        <w:autoSpaceDN w:val="0"/>
        <w:adjustRightInd w:val="0"/>
        <w:spacing w:line="240" w:lineRule="auto"/>
        <w:jc w:val="both"/>
      </w:pPr>
      <w:r w:rsidRPr="00723F73">
        <w:t xml:space="preserve">På baggrund af denne opgørelse fastsættes et </w:t>
      </w:r>
      <w:r w:rsidRPr="00723F73" w:rsidR="00723F73">
        <w:t>tillæg</w:t>
      </w:r>
      <w:r w:rsidRPr="00723F73">
        <w:t xml:space="preserve"> i selskabets prisloft</w:t>
      </w:r>
      <w:r w:rsidRPr="00917F99">
        <w:t xml:space="preserve"> for 201</w:t>
      </w:r>
      <w:r>
        <w:t>4</w:t>
      </w:r>
      <w:r w:rsidRPr="00917F99">
        <w:t xml:space="preserve"> på i </w:t>
      </w:r>
      <w:r w:rsidRPr="00723F73">
        <w:t xml:space="preserve">alt </w:t>
      </w:r>
      <w:r w:rsidRPr="00723F73" w:rsidR="00723F73">
        <w:t>2.774.548</w:t>
      </w:r>
      <w:r w:rsidRPr="00917F99">
        <w:t xml:space="preserve"> kr.</w:t>
      </w:r>
    </w:p>
    <w:p w:rsidR="00D95804" w:rsidP="0066772C" w:rsidRDefault="00D95804">
      <w:pPr>
        <w:autoSpaceDE w:val="0"/>
        <w:autoSpaceDN w:val="0"/>
        <w:adjustRightInd w:val="0"/>
        <w:spacing w:line="240" w:lineRule="auto"/>
        <w:jc w:val="both"/>
        <w:rPr>
          <w:color w:val="000000"/>
          <w:szCs w:val="24"/>
        </w:rPr>
      </w:pPr>
    </w:p>
    <w:p w:rsidR="0066772C" w:rsidP="0066772C" w:rsidRDefault="0011645C">
      <w:pPr>
        <w:jc w:val="both"/>
      </w:pPr>
      <w:r>
        <w:t>Selskabets tillæg til</w:t>
      </w:r>
      <w:r w:rsidRPr="00B82DF3" w:rsidR="0066772C">
        <w:t xml:space="preserve"> prisloftet </w:t>
      </w:r>
      <w:r>
        <w:t xml:space="preserve">for </w:t>
      </w:r>
      <w:r w:rsidRPr="00B82DF3" w:rsidR="0066772C">
        <w:t>201</w:t>
      </w:r>
      <w:r w:rsidR="0066772C">
        <w:t>4</w:t>
      </w:r>
      <w:r w:rsidRPr="00B82DF3" w:rsidR="0066772C">
        <w:t xml:space="preserve"> skyldes, at selskabet har haft lav</w:t>
      </w:r>
      <w:r w:rsidRPr="00B82DF3" w:rsidR="0066772C">
        <w:t>e</w:t>
      </w:r>
      <w:r w:rsidRPr="00B82DF3" w:rsidR="0066772C">
        <w:t>re indtægter fra de pri</w:t>
      </w:r>
      <w:r w:rsidR="0066772C">
        <w:t>mære aktiviteter mv. end fastsat</w:t>
      </w:r>
      <w:r w:rsidRPr="00B82DF3" w:rsidR="0066772C">
        <w:t xml:space="preserve"> i prisloftet for 2011.</w:t>
      </w:r>
      <w:r w:rsidR="0066772C">
        <w:t xml:space="preserve"> </w:t>
      </w:r>
    </w:p>
    <w:p w:rsidR="00723F73" w:rsidP="0066772C" w:rsidRDefault="00723F73">
      <w:pPr>
        <w:rPr>
          <w:b/>
          <w:sz w:val="28"/>
          <w:szCs w:val="28"/>
        </w:rPr>
      </w:pPr>
    </w:p>
    <w:p w:rsidR="00677AF1" w:rsidP="0066772C" w:rsidRDefault="00677AF1">
      <w:pPr>
        <w:rPr>
          <w:b/>
          <w:sz w:val="28"/>
          <w:szCs w:val="28"/>
        </w:rPr>
      </w:pPr>
    </w:p>
    <w:p w:rsidRPr="007B2AB6" w:rsidR="0066772C" w:rsidP="0066772C" w:rsidRDefault="0066772C">
      <w:pPr>
        <w:rPr>
          <w:b/>
          <w:sz w:val="28"/>
          <w:szCs w:val="28"/>
        </w:rPr>
      </w:pPr>
      <w:r w:rsidRPr="00453116">
        <w:rPr>
          <w:b/>
          <w:sz w:val="28"/>
          <w:szCs w:val="28"/>
        </w:rPr>
        <w:t xml:space="preserve">Debiteret vandmængde 2012 </w:t>
      </w:r>
    </w:p>
    <w:p w:rsidRPr="007B2AB6" w:rsidR="0066772C" w:rsidP="0066772C" w:rsidRDefault="0066772C">
      <w:pPr>
        <w:keepNext/>
        <w:jc w:val="both"/>
        <w:rPr>
          <w:b/>
        </w:rPr>
      </w:pPr>
    </w:p>
    <w:p w:rsidR="0066772C" w:rsidP="0066772C" w:rsidRDefault="0066772C">
      <w:pPr>
        <w:keepNext/>
        <w:jc w:val="both"/>
      </w:pPr>
      <w:r>
        <w:t>Prisloftet opgøres i kr. pr. m</w:t>
      </w:r>
      <w:r w:rsidRPr="009F670B">
        <w:rPr>
          <w:szCs w:val="24"/>
          <w:vertAlign w:val="superscript"/>
        </w:rPr>
        <w:t>3</w:t>
      </w:r>
      <w:r>
        <w:t xml:space="preserve"> på baggrund af selskabets driftsomkostni</w:t>
      </w:r>
      <w:r>
        <w:t>n</w:t>
      </w:r>
      <w:r>
        <w:t>ger med forskellige korrektioner divideret med den debiterede van</w:t>
      </w:r>
      <w:r>
        <w:t>d</w:t>
      </w:r>
      <w:r>
        <w:t>mængde i 2012, jf. prisloftbekendtgørelsens § 5, stk. 5.</w:t>
      </w:r>
    </w:p>
    <w:p w:rsidR="0066772C" w:rsidP="0066772C" w:rsidRDefault="0066772C">
      <w:pPr>
        <w:jc w:val="both"/>
      </w:pPr>
    </w:p>
    <w:p w:rsidR="0066772C" w:rsidP="0066772C" w:rsidRDefault="0066772C">
      <w:pPr>
        <w:jc w:val="both"/>
      </w:pPr>
      <w:r>
        <w:t>Forsyningssekretariatet lægger selskabets indberettede debiterede van</w:t>
      </w:r>
      <w:r>
        <w:t>d</w:t>
      </w:r>
      <w:r>
        <w:t xml:space="preserve">mængde på </w:t>
      </w:r>
      <w:bookmarkStart w:name="DebVand" w:id="24"/>
      <w:r w:rsidRPr="00EC2E79" w:rsidR="00B37909">
        <w:t>1.986.726</w:t>
      </w:r>
      <w:bookmarkEnd w:id="24"/>
      <w:r>
        <w:t xml:space="preserve"> m</w:t>
      </w:r>
      <w:r w:rsidRPr="008E151F">
        <w:rPr>
          <w:szCs w:val="24"/>
          <w:vertAlign w:val="superscript"/>
        </w:rPr>
        <w:t>3</w:t>
      </w:r>
      <w:r>
        <w:t xml:space="preserve"> til grund for beregningen af prisloftet.</w:t>
      </w:r>
    </w:p>
    <w:p w:rsidRPr="00ED592E" w:rsidR="00ED592E" w:rsidP="00174449" w:rsidRDefault="00ED592E">
      <w:pPr>
        <w:pStyle w:val="Overskrift1"/>
        <w:pageBreakBefore/>
        <w:rPr>
          <w:sz w:val="28"/>
          <w:szCs w:val="28"/>
        </w:rPr>
      </w:pPr>
      <w:r w:rsidRPr="00ED592E">
        <w:rPr>
          <w:sz w:val="28"/>
          <w:szCs w:val="28"/>
        </w:rPr>
        <w:lastRenderedPageBreak/>
        <w:t xml:space="preserve">Klagevejledning </w:t>
      </w:r>
    </w:p>
    <w:p w:rsidR="00ED592E" w:rsidP="00ED592E" w:rsidRDefault="00ED592E">
      <w:pPr>
        <w:jc w:val="both"/>
      </w:pPr>
    </w:p>
    <w:p w:rsidRPr="00A270DD" w:rsidR="00ED592E" w:rsidP="00ED592E" w:rsidRDefault="00ED592E">
      <w:pPr>
        <w:jc w:val="both"/>
      </w:pPr>
      <w:r w:rsidRPr="00A270DD">
        <w:t>Denne afgørelse kan i henhold til vandsektorlovens § 26, stk. 2, påklages til Konkurrenceankenævnet efter bestemmelserne i vandsektorlovens k</w:t>
      </w:r>
      <w:r w:rsidRPr="00A270DD">
        <w:t>a</w:t>
      </w:r>
      <w:r w:rsidRPr="00A270DD">
        <w:t>pitel 9. En klage til Konkurrenceankenævnet skal indgives skriftligt af de klageberettigede efter lovens § 27 til Forsyningssekretariatet. Fors</w:t>
      </w:r>
      <w:r w:rsidRPr="00A270DD">
        <w:t>y</w:t>
      </w:r>
      <w:r w:rsidRPr="00A270DD">
        <w:t>ningssekretariatet sender umiddelbart efter klagefristens udløb klagen til Konkurrenceankenævnet ledsaget af den påklagede afgørelse og det m</w:t>
      </w:r>
      <w:r w:rsidRPr="00A270DD">
        <w:t>a</w:t>
      </w:r>
      <w:r w:rsidRPr="00A270DD">
        <w:t xml:space="preserve">teriale, der er indgået i sagens bedømmelse. Klagefristen er 4 uger fra den dag, afgørelsen er meddelt. </w:t>
      </w:r>
    </w:p>
    <w:p w:rsidRPr="00A270DD" w:rsidR="00ED592E" w:rsidP="00ED592E" w:rsidRDefault="00ED592E">
      <w:pPr>
        <w:jc w:val="both"/>
      </w:pPr>
    </w:p>
    <w:p w:rsidRPr="00A270DD" w:rsidR="00ED592E" w:rsidP="00ED592E" w:rsidRDefault="00ED592E">
      <w:pPr>
        <w:jc w:val="both"/>
      </w:pPr>
      <w:r w:rsidRPr="00A270DD">
        <w:t>De klageberettigede er ifølge § 27</w:t>
      </w:r>
      <w:r w:rsidRPr="00A270DD" w:rsidR="00A270DD">
        <w:t>, stk. 1,</w:t>
      </w:r>
      <w:r w:rsidRPr="00A270DD">
        <w:t xml:space="preserve"> adressaten for afgørelsen. En</w:t>
      </w:r>
      <w:r w:rsidRPr="00A270DD">
        <w:t>d</w:t>
      </w:r>
      <w:r w:rsidRPr="00A270DD">
        <w:t>videre er offentlige myndigheder, lokale foreninger og organisationer, som har en væsentlig interesse i afgørelsen, og landsdækkende foreni</w:t>
      </w:r>
      <w:r w:rsidRPr="00A270DD">
        <w:t>n</w:t>
      </w:r>
      <w:r w:rsidRPr="00A270DD">
        <w:t>ger og organisationer, hvis hovedformål er beskyttelse af natur og miljø, klageberettigede for så vidt angår spørgsmål om natur og miljø. Konku</w:t>
      </w:r>
      <w:r w:rsidRPr="00A270DD">
        <w:t>r</w:t>
      </w:r>
      <w:r w:rsidRPr="00A270DD">
        <w:t xml:space="preserve">renceankenævnet kan efter bestemmelsens stk. 2 kræve, at foreninger og organisationer, jf. stk. 1, dokumenterer deres klageberettigelse ved at indsende vedtægter eller på anden måde. </w:t>
      </w:r>
    </w:p>
    <w:p w:rsidRPr="00A270DD" w:rsidR="00ED592E" w:rsidP="00ED592E" w:rsidRDefault="00ED592E">
      <w:pPr>
        <w:jc w:val="both"/>
      </w:pPr>
    </w:p>
    <w:p w:rsidRPr="00A270DD" w:rsidR="00ED592E" w:rsidP="00ED592E" w:rsidRDefault="00ED592E">
      <w:pPr>
        <w:jc w:val="both"/>
      </w:pPr>
      <w:r w:rsidRPr="00A270DD">
        <w:t>Konkurrenceankenævnet opkræver et gebyr på 5.000 kr. for at behandle en klage og fastsætter frist for dets indbetaling. Betalingen sker direkte til Konkurrenceankenævnet.</w:t>
      </w:r>
    </w:p>
    <w:p w:rsidRPr="00A270DD" w:rsidR="00ED592E" w:rsidP="00ED592E" w:rsidRDefault="00ED592E">
      <w:pPr>
        <w:jc w:val="both"/>
      </w:pPr>
    </w:p>
    <w:p w:rsidRPr="00A270DD" w:rsidR="00ED592E" w:rsidP="00ED592E" w:rsidRDefault="00ED592E">
      <w:pPr>
        <w:jc w:val="both"/>
      </w:pPr>
      <w:r w:rsidRPr="00A270DD">
        <w:t xml:space="preserve">Forsyningssekretariatets afgørelser om prislofter kan ifølge § 29, stk. 2, ikke indbringes for domstolene, før Konkurrenceankenævnets endelige afgørelse foreligger. </w:t>
      </w:r>
    </w:p>
    <w:p w:rsidRPr="00A270DD" w:rsidR="00ED592E" w:rsidP="00ED592E" w:rsidRDefault="00ED592E">
      <w:pPr>
        <w:jc w:val="both"/>
      </w:pPr>
    </w:p>
    <w:p w:rsidR="00ED592E" w:rsidP="00ED592E" w:rsidRDefault="00ED592E">
      <w:pPr>
        <w:jc w:val="both"/>
      </w:pPr>
    </w:p>
    <w:p w:rsidR="009E2384" w:rsidP="009E2384" w:rsidRDefault="009E2384">
      <w:pPr>
        <w:jc w:val="both"/>
      </w:pPr>
      <w:r>
        <w:t>Med venlig hilsen</w:t>
      </w:r>
    </w:p>
    <w:p w:rsidR="009E2384" w:rsidP="009E2384" w:rsidRDefault="009E2384">
      <w:pPr>
        <w:jc w:val="both"/>
      </w:pPr>
    </w:p>
    <w:p w:rsidR="009E2384" w:rsidP="009E2384" w:rsidRDefault="009E2384">
      <w:pPr>
        <w:jc w:val="both"/>
      </w:pPr>
      <w:r>
        <w:t xml:space="preserve">Forsyningssekretariatet                                                                                             </w:t>
      </w:r>
    </w:p>
    <w:p w:rsidR="009E2384" w:rsidP="009E2384" w:rsidRDefault="009E2384">
      <w:pPr>
        <w:jc w:val="both"/>
      </w:pPr>
      <w:r>
        <w:rPr>
          <w:noProof/>
        </w:rPr>
        <w:drawing>
          <wp:anchor distT="0" distB="0" distL="114300" distR="114300" simplePos="0" relativeHeight="251658240" behindDoc="1" locked="0" layoutInCell="1" allowOverlap="0">
            <wp:simplePos x="0" y="0"/>
            <wp:positionH relativeFrom="column">
              <wp:posOffset>-1270</wp:posOffset>
            </wp:positionH>
            <wp:positionV relativeFrom="paragraph">
              <wp:posOffset>28575</wp:posOffset>
            </wp:positionV>
            <wp:extent cx="1835785" cy="680085"/>
            <wp:effectExtent l="0" t="0" r="0" b="5715"/>
            <wp:wrapTight wrapText="bothSides">
              <wp:wrapPolygon edited="0">
                <wp:start x="0" y="0"/>
                <wp:lineTo x="0" y="21176"/>
                <wp:lineTo x="21294" y="21176"/>
                <wp:lineTo x="21294"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785" cy="680085"/>
                    </a:xfrm>
                    <a:prstGeom prst="rect">
                      <a:avLst/>
                    </a:prstGeom>
                    <a:noFill/>
                  </pic:spPr>
                </pic:pic>
              </a:graphicData>
            </a:graphic>
            <wp14:sizeRelH relativeFrom="page">
              <wp14:pctWidth>0</wp14:pctWidth>
            </wp14:sizeRelH>
            <wp14:sizeRelV relativeFrom="page">
              <wp14:pctHeight>0</wp14:pctHeight>
            </wp14:sizeRelV>
          </wp:anchor>
        </w:drawing>
      </w:r>
    </w:p>
    <w:p w:rsidR="009E2384" w:rsidP="009E2384" w:rsidRDefault="009E2384">
      <w:pPr>
        <w:jc w:val="both"/>
      </w:pPr>
    </w:p>
    <w:p w:rsidR="009E2384" w:rsidP="009E2384" w:rsidRDefault="009E2384">
      <w:pPr>
        <w:jc w:val="both"/>
      </w:pPr>
    </w:p>
    <w:p w:rsidR="009E2384" w:rsidP="009E2384" w:rsidRDefault="009E2384">
      <w:pPr>
        <w:jc w:val="both"/>
      </w:pPr>
    </w:p>
    <w:p w:rsidR="009E2384" w:rsidP="009E2384" w:rsidRDefault="009E2384">
      <w:pPr>
        <w:jc w:val="both"/>
      </w:pPr>
    </w:p>
    <w:p w:rsidR="009E2384" w:rsidP="009E2384" w:rsidRDefault="009E2384">
      <w:r>
        <w:t>v/ Filip M. Sundram</w:t>
      </w: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Pr="008A7EA7" w:rsidR="0066772C" w:rsidP="0066772C" w:rsidRDefault="00D32535">
      <w:pPr>
        <w:pStyle w:val="Overskrift1"/>
        <w:rPr>
          <w:sz w:val="28"/>
          <w:szCs w:val="28"/>
        </w:rPr>
      </w:pPr>
      <w:r>
        <w:rPr>
          <w:sz w:val="28"/>
          <w:szCs w:val="28"/>
        </w:rPr>
        <w:br w:type="page"/>
      </w:r>
      <w:r w:rsidR="0066772C">
        <w:rPr>
          <w:sz w:val="28"/>
          <w:szCs w:val="28"/>
        </w:rPr>
        <w:lastRenderedPageBreak/>
        <w:t>Uddrag af r</w:t>
      </w:r>
      <w:r w:rsidRPr="008A7EA7" w:rsidR="0066772C">
        <w:rPr>
          <w:sz w:val="28"/>
          <w:szCs w:val="28"/>
        </w:rPr>
        <w:t>eglerne</w:t>
      </w:r>
    </w:p>
    <w:p w:rsidRPr="008A7EA7" w:rsidR="0066772C" w:rsidP="0066772C" w:rsidRDefault="0066772C">
      <w:pPr>
        <w:pStyle w:val="Overskrift1"/>
        <w:rPr>
          <w:sz w:val="28"/>
          <w:szCs w:val="28"/>
        </w:rPr>
      </w:pPr>
    </w:p>
    <w:p w:rsidR="0066772C" w:rsidP="0066772C" w:rsidRDefault="0066772C">
      <w:pPr>
        <w:jc w:val="both"/>
      </w:pPr>
      <w:r>
        <w:t>Forsyningssekretariatet fastsætter prislofter for vand- og spildevandsse</w:t>
      </w:r>
      <w:r>
        <w:t>l</w:t>
      </w:r>
      <w:r>
        <w:t>skaber, der er omfattet af lov nr. 469 af 12. juni 2009 om vandsektorens organisering og økonomiske forhold (vandsektorloven) med senere æ</w:t>
      </w:r>
      <w:r>
        <w:t>n</w:t>
      </w:r>
      <w:r>
        <w:t xml:space="preserve">dringer. Afgørelsen er således truffet i medfør af vandsektorlovens § 6, stk. 2. </w:t>
      </w:r>
    </w:p>
    <w:p w:rsidR="0066772C" w:rsidP="0066772C" w:rsidRDefault="0066772C">
      <w:pPr>
        <w:jc w:val="both"/>
      </w:pPr>
    </w:p>
    <w:p w:rsidR="0066772C" w:rsidP="0066772C" w:rsidRDefault="0066772C">
      <w:pPr>
        <w:jc w:val="both"/>
      </w:pPr>
      <w:r>
        <w:t>Der er fastsat nærmere regler om disse prislofter i bekendtgøre</w:t>
      </w:r>
      <w:r w:rsidR="00330356">
        <w:t>lse nr. 122</w:t>
      </w:r>
      <w:r>
        <w:t xml:space="preserve"> af 8. februar 2013 om prisloftregulering mv. af vandsektoren (prisloft-bekendtgørelsen). </w:t>
      </w:r>
    </w:p>
    <w:p w:rsidR="0066772C" w:rsidP="0066772C" w:rsidRDefault="0066772C">
      <w:pPr>
        <w:jc w:val="both"/>
      </w:pPr>
    </w:p>
    <w:p w:rsidR="0066772C" w:rsidP="0066772C" w:rsidRDefault="0066772C">
      <w:pPr>
        <w:jc w:val="both"/>
      </w:pPr>
      <w:r w:rsidRPr="00D45D70">
        <w:t>Ifølge prisloftbekendtgørelsens § 5, stk. 1, fastsættes driftsomkostninge</w:t>
      </w:r>
      <w:r w:rsidRPr="00D45D70">
        <w:t>r</w:t>
      </w:r>
      <w:r w:rsidR="00330356">
        <w:t>ne for prisloftet for 2014</w:t>
      </w:r>
      <w:r w:rsidRPr="00D45D70">
        <w:t xml:space="preserve"> som driftsomkostningerne i prisloftet for det f</w:t>
      </w:r>
      <w:r w:rsidRPr="00D45D70">
        <w:t>o</w:t>
      </w:r>
      <w:r w:rsidRPr="00D45D70">
        <w:t>regående år korrigeret for effektiviseringskrav. Herefter pristalsreguleres efter § 32. De pristalskorrigerede driftsomkostninger kan dog ikke fas</w:t>
      </w:r>
      <w:r w:rsidRPr="00D45D70">
        <w:t>t</w:t>
      </w:r>
      <w:r w:rsidRPr="00D45D70">
        <w:t>sættes lavere end det, der udgør de effektive drift</w:t>
      </w:r>
      <w:r>
        <w:t>somkostninger for se</w:t>
      </w:r>
      <w:r>
        <w:t>l</w:t>
      </w:r>
      <w:r>
        <w:t>skabet</w:t>
      </w:r>
      <w:r w:rsidRPr="00D45D70">
        <w:t xml:space="preserve"> i henhold til beregningerne i benchmarkingen.</w:t>
      </w:r>
      <w:r>
        <w:t xml:space="preserve"> </w:t>
      </w:r>
    </w:p>
    <w:p w:rsidR="0066772C" w:rsidP="0066772C" w:rsidRDefault="0066772C">
      <w:pPr>
        <w:jc w:val="both"/>
      </w:pPr>
    </w:p>
    <w:p w:rsidR="0066772C" w:rsidP="0066772C" w:rsidRDefault="0066772C">
      <w:pPr>
        <w:jc w:val="both"/>
      </w:pPr>
      <w:r w:rsidRPr="00D45D70">
        <w:t xml:space="preserve">Herefter korrigeres for afvikling af </w:t>
      </w:r>
      <w:r>
        <w:t xml:space="preserve">selskabets </w:t>
      </w:r>
      <w:r w:rsidRPr="00D45D70">
        <w:t>over- eller underdækning og tillæg af forventede 1:1 omkostninger, forventede driftsomkostninger til opnåelse af miljø- og servicemål, forventede nettofinansielle poster, tillæg for planlagte investeringer, tillæg for gennemførte investeringer, tillæg for historiske investeringer, forventet bortfald af væsentlige o</w:t>
      </w:r>
      <w:r w:rsidRPr="00D45D70">
        <w:t>m</w:t>
      </w:r>
      <w:r w:rsidRPr="00D45D70">
        <w:t>kostninger s</w:t>
      </w:r>
      <w:r>
        <w:t>om er medregnet i driftsomkostningerne</w:t>
      </w:r>
      <w:r w:rsidRPr="00D45D70">
        <w:t xml:space="preserve"> for prisloftet, samt fradrag af et generelt og et individuelt effektiviseringskrav.</w:t>
      </w:r>
    </w:p>
    <w:p w:rsidRPr="00D45D70" w:rsidR="0066772C" w:rsidP="0066772C" w:rsidRDefault="0066772C">
      <w:pPr>
        <w:jc w:val="both"/>
      </w:pPr>
    </w:p>
    <w:p w:rsidR="0066772C" w:rsidP="0066772C" w:rsidRDefault="0066772C">
      <w:pPr>
        <w:jc w:val="both"/>
      </w:pPr>
      <w:r>
        <w:t>Endvidere skal der i henhold til bekendtgørelsens § 5, stk. 2,</w:t>
      </w:r>
      <w:r w:rsidRPr="00D45D70">
        <w:t xml:space="preserve"> korrigeres for en årlig engangsregulering som følge af forskelle mellem tidligere indregnede forventede afskrivninger fra investeringsplanen og faktiske beløb fra investeringsregnskabet for det år, der ligger to år forud for pri</w:t>
      </w:r>
      <w:r w:rsidRPr="00D45D70">
        <w:t>s</w:t>
      </w:r>
      <w:r w:rsidRPr="00D45D70">
        <w:t xml:space="preserve">loftåret. </w:t>
      </w:r>
    </w:p>
    <w:p w:rsidR="0066772C" w:rsidP="0066772C" w:rsidRDefault="0066772C">
      <w:pPr>
        <w:jc w:val="both"/>
      </w:pPr>
    </w:p>
    <w:p w:rsidR="0066772C" w:rsidP="0066772C" w:rsidRDefault="0066772C">
      <w:pPr>
        <w:jc w:val="both"/>
      </w:pPr>
      <w:r w:rsidRPr="00D45D70">
        <w:t>Desuden korrigeres som en årlig engangsregulering for forskellen me</w:t>
      </w:r>
      <w:r w:rsidRPr="00D45D70">
        <w:t>l</w:t>
      </w:r>
      <w:r w:rsidRPr="00D45D70">
        <w:t>lem selskabets faktiske indtægter og indtægtsrammen, jf. § 6, i det år, der ligger to år forud for prisloftåret. Endvidere korrigeres i prisloftet for fo</w:t>
      </w:r>
      <w:r w:rsidRPr="00D45D70">
        <w:t>r</w:t>
      </w:r>
      <w:r w:rsidRPr="00D45D70">
        <w:t>skellen mellem tidligere indregnede forventede beløb for driftsomkos</w:t>
      </w:r>
      <w:r w:rsidRPr="00D45D70">
        <w:t>t</w:t>
      </w:r>
      <w:r w:rsidRPr="00D45D70">
        <w:t>ninger til opnåelse af miljø- og servicemål, 1:1 omkostninger samt nett</w:t>
      </w:r>
      <w:r w:rsidRPr="00D45D70">
        <w:t>o</w:t>
      </w:r>
      <w:r w:rsidRPr="00D45D70">
        <w:t xml:space="preserve">finansielle poster og de faktiske beløb i henhold til reguleringsregnskabet for året to år forud for prisloftsåret, jf. dog § 9, stk. 2, og § 13. </w:t>
      </w:r>
    </w:p>
    <w:p w:rsidR="0066772C" w:rsidP="0066772C" w:rsidRDefault="0066772C">
      <w:pPr>
        <w:jc w:val="both"/>
      </w:pPr>
    </w:p>
    <w:p w:rsidRPr="00D45D70" w:rsidR="0066772C" w:rsidP="0066772C" w:rsidRDefault="0066772C">
      <w:pPr>
        <w:jc w:val="both"/>
      </w:pPr>
      <w:r w:rsidRPr="00D45D70">
        <w:t>Endelig korrigeres for forskellen mellem tidligere indregnede forventede beløb til øgede driftsomkostninger, jf. § 8, stk. 2 og 3, og de faktiske a</w:t>
      </w:r>
      <w:r w:rsidRPr="00D45D70">
        <w:t>f</w:t>
      </w:r>
      <w:r w:rsidRPr="00D45D70">
        <w:t>holdte udgifter, jf. § 2</w:t>
      </w:r>
      <w:r>
        <w:t>5, jf. prisloftbekendtgørelsens § 5, stk. 2.</w:t>
      </w:r>
    </w:p>
    <w:p w:rsidR="0066772C" w:rsidP="0066772C" w:rsidRDefault="0066772C">
      <w:pPr>
        <w:jc w:val="both"/>
        <w:rPr>
          <w:color w:val="FF0000"/>
        </w:rPr>
      </w:pPr>
    </w:p>
    <w:p w:rsidRPr="002324C8" w:rsidR="0066772C" w:rsidP="0066772C" w:rsidRDefault="0066772C">
      <w:pPr>
        <w:jc w:val="both"/>
      </w:pPr>
      <w:r w:rsidRPr="002324C8">
        <w:t>Ved fastsættelsen af prisloftet kan kun indregnes relevante udgifter, o</w:t>
      </w:r>
      <w:r w:rsidRPr="002324C8">
        <w:t>m</w:t>
      </w:r>
      <w:r w:rsidRPr="002324C8">
        <w:t>kostninger og indtægter fra aktiviteter omfattet af § 1, stk. 2, jf. prislof</w:t>
      </w:r>
      <w:r w:rsidRPr="002324C8">
        <w:t>t</w:t>
      </w:r>
      <w:r w:rsidR="00330356">
        <w:t>bekendtgørelsens § 5, stk. 4</w:t>
      </w:r>
      <w:r>
        <w:t>.</w:t>
      </w:r>
    </w:p>
    <w:p w:rsidRPr="0064024A" w:rsidR="0066772C" w:rsidP="0066772C" w:rsidRDefault="0066772C">
      <w:pPr>
        <w:jc w:val="both"/>
        <w:rPr>
          <w:color w:val="FF0000"/>
        </w:rPr>
      </w:pPr>
    </w:p>
    <w:p w:rsidRPr="002324C8" w:rsidR="0066772C" w:rsidP="0066772C" w:rsidRDefault="0066772C">
      <w:pPr>
        <w:jc w:val="both"/>
      </w:pPr>
      <w:r w:rsidRPr="002324C8">
        <w:lastRenderedPageBreak/>
        <w:t>Det fremkomne beløb udgør selskabets indtægtsramme, som til sidst d</w:t>
      </w:r>
      <w:r w:rsidRPr="002324C8">
        <w:t>i</w:t>
      </w:r>
      <w:r w:rsidRPr="002324C8">
        <w:t xml:space="preserve">videres med </w:t>
      </w:r>
      <w:r w:rsidR="00330356">
        <w:t>den debiterede vandmængde i 2012</w:t>
      </w:r>
      <w:r w:rsidRPr="002324C8">
        <w:t xml:space="preserve"> for at få selskabets pri</w:t>
      </w:r>
      <w:r w:rsidRPr="002324C8">
        <w:t>s</w:t>
      </w:r>
      <w:r w:rsidRPr="002324C8">
        <w:t>loft for 201</w:t>
      </w:r>
      <w:r w:rsidR="00330356">
        <w:t>4</w:t>
      </w:r>
      <w:r w:rsidRPr="002324C8">
        <w:t xml:space="preserve"> opgjort i kr. pr. m</w:t>
      </w:r>
      <w:r w:rsidRPr="002324C8">
        <w:rPr>
          <w:vertAlign w:val="superscript"/>
        </w:rPr>
        <w:t>3</w:t>
      </w:r>
      <w:r w:rsidRPr="002324C8">
        <w:t>, jf. pris</w:t>
      </w:r>
      <w:r w:rsidR="00330356">
        <w:t>loftbekendtgørelsens § 5, stk. 5</w:t>
      </w:r>
      <w:r w:rsidRPr="002324C8">
        <w:t xml:space="preserve">. </w:t>
      </w:r>
    </w:p>
    <w:p w:rsidR="0066772C" w:rsidP="0066772C" w:rsidRDefault="0066772C">
      <w:pPr>
        <w:jc w:val="both"/>
      </w:pPr>
    </w:p>
    <w:p w:rsidR="0066772C" w:rsidP="0066772C" w:rsidRDefault="0066772C">
      <w:pPr>
        <w:jc w:val="both"/>
      </w:pPr>
      <w:r>
        <w:t>Ifølge prisloftbekendtgørelsens § 6, må følgende beløb tilsammen ikke overstige den maksimale ramme for et vandselskabs primære indtægter, jf. § 3, stk. 1, fratrukket et eventuelt ikke opkrævet tillæg stammende fra den årlige engangsregulering for forskellen mellem selskabets faktiske indtægter og indtægtsrammen givet til det prisloft, der ligger to år forud for prisloftåret, jf. § 5, stk. 2, 2. pkt., eller ved fireårige prislofter, givet de fire år, der ligger to år forud for startåret i den næste fireårige periode, jf. § 5, stk. 3, 3 pkt., samt fratrukket en eventuelt ikke anvendt del af l</w:t>
      </w:r>
      <w:r>
        <w:t>i</w:t>
      </w:r>
      <w:r>
        <w:t>kviditeten fra investeringstillæggene, tilslutningsbidrag og salg af a</w:t>
      </w:r>
      <w:r>
        <w:t>n</w:t>
      </w:r>
      <w:r>
        <w:t>lægsaktiver, jf. § 21, stk. 3-4</w:t>
      </w:r>
      <w:r w:rsidR="00330356">
        <w:t>,</w:t>
      </w:r>
      <w:r>
        <w:t xml:space="preserve"> og § 24, samt en effekt af en takstnedsæ</w:t>
      </w:r>
      <w:r>
        <w:t>t</w:t>
      </w:r>
      <w:r>
        <w:t>telse som følge af anvendelsen af et ekstraordinært effektiviseringstillæg jf. § 26 stk. 2:</w:t>
      </w:r>
    </w:p>
    <w:p w:rsidR="0066772C" w:rsidP="0066772C" w:rsidRDefault="0066772C">
      <w:pPr>
        <w:pStyle w:val="Listeafsnit"/>
        <w:numPr>
          <w:ilvl w:val="0"/>
          <w:numId w:val="28"/>
        </w:numPr>
        <w:jc w:val="both"/>
      </w:pPr>
      <w:r>
        <w:t>Indtægter fra kubikmetertakster, faste takster, særbidrag, måle</w:t>
      </w:r>
      <w:r>
        <w:t>r</w:t>
      </w:r>
      <w:r>
        <w:t xml:space="preserve">gebyrer samt andre takster og gebyrer, som vedrører leveringer af ydelser omfattet af § 1, stk. 2, i prisloftåret. </w:t>
      </w:r>
    </w:p>
    <w:p w:rsidR="0066772C" w:rsidP="0066772C" w:rsidRDefault="0066772C">
      <w:pPr>
        <w:pStyle w:val="Listeafsnit"/>
        <w:numPr>
          <w:ilvl w:val="0"/>
          <w:numId w:val="28"/>
        </w:numPr>
        <w:jc w:val="both"/>
      </w:pPr>
      <w:r>
        <w:t>Andre indtægter i prisloftåret, som selskabet har opnået i forbi</w:t>
      </w:r>
      <w:r>
        <w:t>n</w:t>
      </w:r>
      <w:r>
        <w:t>delse med eller som følge af selskabets primære aktiviteter, jf. § 1, stk. 2, herunder eksempelvis spildevandsselskabers indtægter fra kommunale vejbidrag, indtægter fra behandling af spildevand fra tømningsordninger, indtægter fra måleraflæsning på vegne af andre selskaber, udlejning af antenneplads på vandtårne eller li</w:t>
      </w:r>
      <w:r>
        <w:t>g</w:t>
      </w:r>
      <w:r>
        <w:t>nende.</w:t>
      </w:r>
    </w:p>
    <w:p w:rsidR="0066772C" w:rsidP="0066772C" w:rsidRDefault="0066772C">
      <w:pPr>
        <w:jc w:val="both"/>
      </w:pPr>
    </w:p>
    <w:p w:rsidR="0066772C" w:rsidP="0066772C" w:rsidRDefault="0066772C">
      <w:pPr>
        <w:jc w:val="both"/>
      </w:pPr>
      <w:r>
        <w:t>Modtager et selskab en for selskabets indtægtsramme betydelig indtægt, eksklusiv</w:t>
      </w:r>
      <w:r w:rsidR="00330356">
        <w:t>e</w:t>
      </w:r>
      <w:r>
        <w:t xml:space="preserve"> de i § 6, stk. 1, nr. 1, nævnte indtægter, kan indtægten efter ansøgning til Forsyningssekretariatet i særlige tilfælde indregnes over en periode på op til 5 år, gældende fra det følgende års prisloft. Vedrører indtægten perioden før den 1. januar 2010 og har selskabet i det år</w:t>
      </w:r>
      <w:r w:rsidR="00330356">
        <w:t>,</w:t>
      </w:r>
      <w:r>
        <w:t xml:space="preserve"> som ligger </w:t>
      </w:r>
      <w:r w:rsidR="00330356">
        <w:t>to</w:t>
      </w:r>
      <w:r>
        <w:t xml:space="preserve"> år forud for prisloftsåret</w:t>
      </w:r>
      <w:r w:rsidR="00330356">
        <w:t>,</w:t>
      </w:r>
      <w:r>
        <w:t xml:space="preserve"> en over- eller underdækning opgjort pr. 31. december 2010, kan indtægten indregnes som en korrektion til denne over- eller underdækning, gældende fra det følgende års prisloft, jf. prisloftbekendtgørelsens § 6, stk. 2. </w:t>
      </w:r>
    </w:p>
    <w:p w:rsidR="0066772C" w:rsidP="0066772C" w:rsidRDefault="0066772C">
      <w:pPr>
        <w:jc w:val="both"/>
      </w:pPr>
    </w:p>
    <w:p w:rsidR="0066772C" w:rsidP="0066772C" w:rsidRDefault="0066772C">
      <w:pPr>
        <w:jc w:val="both"/>
      </w:pPr>
      <w:r>
        <w:t xml:space="preserve">Vandselskaberne skal efter prisloftbekendtgørelsens § 18, stk. 1, senest den 15. april hvert år indsende de nødvendige oplysninger til brug for Forsyningssekretariatets fastsættelse af prisloftet for det efterfølgende år. </w:t>
      </w:r>
    </w:p>
    <w:p w:rsidR="0066772C" w:rsidP="0066772C" w:rsidRDefault="0066772C">
      <w:pPr>
        <w:jc w:val="both"/>
      </w:pPr>
    </w:p>
    <w:p w:rsidR="0066772C" w:rsidP="0066772C" w:rsidRDefault="0066772C">
      <w:pPr>
        <w:jc w:val="both"/>
      </w:pPr>
      <w:r>
        <w:t>Forsyningssekretariatet fastsætter i den forbindelse hvilke oplysninger og data, der er nødvendige, jf. prisloftbekendtgørelsens § 18, stk. 2.</w:t>
      </w:r>
    </w:p>
    <w:p w:rsidR="0066772C" w:rsidP="0066772C" w:rsidRDefault="0066772C">
      <w:pPr>
        <w:jc w:val="both"/>
      </w:pPr>
    </w:p>
    <w:p w:rsidR="0066772C" w:rsidP="0066772C" w:rsidRDefault="0066772C">
      <w:pPr>
        <w:jc w:val="both"/>
      </w:pPr>
      <w:r>
        <w:t xml:space="preserve">Hvis et vandselskab ikke indsender de fornødne oplysninger til </w:t>
      </w:r>
      <w:r w:rsidRPr="00EA41B5">
        <w:t>Fors</w:t>
      </w:r>
      <w:r w:rsidRPr="00EA41B5">
        <w:t>y</w:t>
      </w:r>
      <w:r w:rsidRPr="00EA41B5">
        <w:t>ningssekretariatet</w:t>
      </w:r>
      <w:r>
        <w:t xml:space="preserve"> til brug for fastsættelse af prisloftet, kan </w:t>
      </w:r>
      <w:r w:rsidRPr="00EA41B5">
        <w:t>Forsyningss</w:t>
      </w:r>
      <w:r w:rsidRPr="00EA41B5">
        <w:t>e</w:t>
      </w:r>
      <w:r w:rsidRPr="00EA41B5">
        <w:t>kretariatet</w:t>
      </w:r>
      <w:r>
        <w:t xml:space="preserve"> i henhold til prisloftbekendtgørelsens § 7 skønsmæssigt fas</w:t>
      </w:r>
      <w:r>
        <w:t>t</w:t>
      </w:r>
      <w:r>
        <w:t xml:space="preserve">sætte de manglende oplysninger. </w:t>
      </w:r>
    </w:p>
    <w:p w:rsidR="0066772C" w:rsidP="0066772C" w:rsidRDefault="0066772C">
      <w:pPr>
        <w:jc w:val="both"/>
      </w:pPr>
    </w:p>
    <w:p w:rsidR="0066772C" w:rsidP="0066772C" w:rsidRDefault="0066772C">
      <w:pPr>
        <w:jc w:val="both"/>
      </w:pPr>
      <w:r>
        <w:lastRenderedPageBreak/>
        <w:t>Forsyningssekretariatet skal senest den 15. september hvert år sende u</w:t>
      </w:r>
      <w:r>
        <w:t>d</w:t>
      </w:r>
      <w:r>
        <w:t>kastet til vandselskabets prisloft for det følgende år i høring hos vandse</w:t>
      </w:r>
      <w:r>
        <w:t>l</w:t>
      </w:r>
      <w:r>
        <w:t xml:space="preserve">skabet. Høringsfristen er 2 uger, jf. prisloftbekendtgørelsens § 19, stk. 1. </w:t>
      </w:r>
    </w:p>
    <w:p w:rsidR="0066772C" w:rsidP="0066772C" w:rsidRDefault="0066772C">
      <w:pPr>
        <w:jc w:val="both"/>
      </w:pPr>
    </w:p>
    <w:p w:rsidR="0066772C" w:rsidP="0066772C" w:rsidRDefault="0066772C">
      <w:pPr>
        <w:jc w:val="both"/>
      </w:pPr>
      <w:r>
        <w:t>Forsyningssekretariatet skal senest den 15. oktober hvert år træffe afg</w:t>
      </w:r>
      <w:r>
        <w:t>ø</w:t>
      </w:r>
      <w:r>
        <w:t xml:space="preserve">relse om fastsættelsen af et vandselskabsprisloft for det følgende år, jf. prisloftbekendtgørelsens § 19, stk. 2. </w:t>
      </w:r>
    </w:p>
    <w:p w:rsidR="00D32535" w:rsidP="0066772C" w:rsidRDefault="00D32535">
      <w:pPr>
        <w:pStyle w:val="Overskrift1"/>
      </w:pPr>
    </w:p>
    <w:p w:rsidR="00D32535" w:rsidP="00D32535" w:rsidRDefault="00D32535">
      <w:pPr>
        <w:pStyle w:val="Brdtekst"/>
      </w:pPr>
    </w:p>
    <w:p w:rsidR="00D32535" w:rsidP="00A270DD" w:rsidRDefault="00D32535">
      <w:pPr>
        <w:jc w:val="both"/>
      </w:pPr>
    </w:p>
    <w:sectPr w:rsidR="00D32535">
      <w:headerReference w:type="even" r:id="rId10"/>
      <w:headerReference w:type="default" r:id="rId11"/>
      <w:footerReference w:type="even" r:id="rId12"/>
      <w:footerReference w:type="default" r:id="rId13"/>
      <w:headerReference w:type="first" r:id="rId14"/>
      <w:footerReference w:type="first" r:id="rId15"/>
      <w:pgSz w:w="11906" w:h="16838" w:code="9"/>
      <w:pgMar w:top="2155" w:right="3742" w:bottom="794" w:left="1106" w:header="624" w:footer="567" w:gutter="0"/>
      <w:paperSrc w:first="2"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FAF" w:rsidRDefault="00FC5FAF">
      <w:r>
        <w:separator/>
      </w:r>
    </w:p>
  </w:endnote>
  <w:endnote w:type="continuationSeparator" w:id="0">
    <w:p w:rsidR="00FC5FAF" w:rsidRDefault="00FC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AF" w:rsidRDefault="00FC5FAF">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AF" w:rsidRDefault="00FC5FAF">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AF" w:rsidRDefault="00FC5FAF">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FAF" w:rsidRDefault="00FC5FAF">
      <w:r>
        <w:separator/>
      </w:r>
    </w:p>
  </w:footnote>
  <w:footnote w:type="continuationSeparator" w:id="0">
    <w:p w:rsidR="00FC5FAF" w:rsidRDefault="00FC5FAF">
      <w:r>
        <w:continuationSeparator/>
      </w:r>
    </w:p>
  </w:footnote>
  <w:footnote w:id="1">
    <w:p w:rsidR="00FC5FAF" w:rsidRPr="00A40561" w:rsidRDefault="00FC5FAF" w:rsidP="00AE1521">
      <w:pPr>
        <w:pStyle w:val="Fodnotetekst"/>
      </w:pPr>
      <w:r>
        <w:rPr>
          <w:rStyle w:val="Fodnotehenvisning"/>
        </w:rPr>
        <w:footnoteRef/>
      </w:r>
      <w:r>
        <w:t xml:space="preserve"> Se </w:t>
      </w:r>
      <w:hyperlink r:id="rId1" w:history="1">
        <w:r>
          <w:rPr>
            <w:rStyle w:val="Hyperlink"/>
          </w:rPr>
          <w:t>http://www.kfst.dk/Vandtilsyn/Benchmarking/Benchmarking-2014</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AF" w:rsidRDefault="00FC5FAF">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AF" w:rsidRDefault="00FC5FAF">
    <w:pPr>
      <w:framePr w:w="1531" w:h="851" w:wrap="around" w:vAnchor="page" w:hAnchor="page" w:x="9186" w:y="721"/>
    </w:pPr>
    <w:r>
      <w:rPr>
        <w:rStyle w:val="Sidetal"/>
      </w:rPr>
      <w:fldChar w:fldCharType="begin"/>
    </w:r>
    <w:r>
      <w:rPr>
        <w:rStyle w:val="Sidetal"/>
      </w:rPr>
      <w:instrText xml:space="preserve"> PAGE </w:instrText>
    </w:r>
    <w:r>
      <w:rPr>
        <w:rStyle w:val="Sidetal"/>
      </w:rPr>
      <w:fldChar w:fldCharType="separate"/>
    </w:r>
    <w:r w:rsidR="00D93A07">
      <w:rPr>
        <w:rStyle w:val="Sidetal"/>
        <w:noProof/>
      </w:rPr>
      <w:t>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D93A07">
      <w:rPr>
        <w:rStyle w:val="Sidetal"/>
        <w:noProof/>
      </w:rPr>
      <w:t>30</w:t>
    </w:r>
    <w:r>
      <w:rPr>
        <w:rStyle w:val="Sidetal"/>
      </w:rPr>
      <w:fldChar w:fldCharType="end"/>
    </w:r>
  </w:p>
  <w:p w:rsidR="00FC5FAF" w:rsidRDefault="00FC5FAF">
    <w:pPr>
      <w:framePr w:w="1531" w:h="851" w:wrap="around" w:vAnchor="page" w:hAnchor="page" w:x="9186" w:y="721"/>
    </w:pPr>
  </w:p>
  <w:p w:rsidR="00FC5FAF" w:rsidRDefault="00FC5FAF">
    <w:pPr>
      <w:framePr w:w="1531" w:h="851" w:wrap="around" w:vAnchor="page" w:hAnchor="page" w:x="9186" w:y="721"/>
    </w:pPr>
  </w:p>
  <w:p w:rsidR="00FC5FAF" w:rsidRDefault="00FC5FAF">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AF" w:rsidRPr="00326491" w:rsidRDefault="00FC5FAF">
    <w:pPr>
      <w:pStyle w:val="Sidehoved"/>
    </w:pPr>
    <w:r>
      <w:rPr>
        <w:noProof/>
      </w:rPr>
      <w:drawing>
        <wp:anchor distT="0" distB="0" distL="114300" distR="114300" simplePos="0" relativeHeight="251656192" behindDoc="0" locked="0" layoutInCell="1" allowOverlap="1" wp14:anchorId="3DD5A8FD" wp14:editId="48C0BFC3">
          <wp:simplePos x="0" y="0"/>
          <wp:positionH relativeFrom="column">
            <wp:posOffset>1520825</wp:posOffset>
          </wp:positionH>
          <wp:positionV relativeFrom="paragraph">
            <wp:posOffset>-165100</wp:posOffset>
          </wp:positionV>
          <wp:extent cx="2788920" cy="548005"/>
          <wp:effectExtent l="0" t="0" r="0" b="4445"/>
          <wp:wrapTopAndBottom/>
          <wp:docPr id="1" name="Billede 1" descr="KoFstyrels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Fstyrels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920" cy="548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56D8"/>
    <w:multiLevelType w:val="multilevel"/>
    <w:tmpl w:val="98AEDA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890D8E"/>
    <w:multiLevelType w:val="hybridMultilevel"/>
    <w:tmpl w:val="42E259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0FD6C76"/>
    <w:multiLevelType w:val="hybridMultilevel"/>
    <w:tmpl w:val="6E32EAAE"/>
    <w:lvl w:ilvl="0" w:tplc="0AD28F90">
      <w:start w:val="1"/>
      <w:numFmt w:val="bullet"/>
      <w:lvlText w:val=""/>
      <w:lvlJc w:val="left"/>
      <w:pPr>
        <w:tabs>
          <w:tab w:val="num" w:pos="567"/>
        </w:tabs>
        <w:ind w:left="567" w:hanging="454"/>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148B4C21"/>
    <w:multiLevelType w:val="hybridMultilevel"/>
    <w:tmpl w:val="887A2F58"/>
    <w:lvl w:ilvl="0" w:tplc="04060011">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nsid w:val="172B709C"/>
    <w:multiLevelType w:val="hybridMultilevel"/>
    <w:tmpl w:val="AA04C592"/>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nsid w:val="18B22968"/>
    <w:multiLevelType w:val="hybridMultilevel"/>
    <w:tmpl w:val="4DAAC974"/>
    <w:lvl w:ilvl="0" w:tplc="52D2BFF8">
      <w:start w:val="1"/>
      <w:numFmt w:val="bullet"/>
      <w:lvlText w:val=""/>
      <w:lvlJc w:val="left"/>
      <w:pPr>
        <w:tabs>
          <w:tab w:val="num" w:pos="833"/>
        </w:tabs>
        <w:ind w:left="833" w:hanging="360"/>
      </w:pPr>
      <w:rPr>
        <w:rFonts w:ascii="Symbol" w:hAnsi="Symbol" w:hint="default"/>
      </w:rPr>
    </w:lvl>
    <w:lvl w:ilvl="1" w:tplc="04060003" w:tentative="1">
      <w:start w:val="1"/>
      <w:numFmt w:val="bullet"/>
      <w:lvlText w:val="o"/>
      <w:lvlJc w:val="left"/>
      <w:pPr>
        <w:tabs>
          <w:tab w:val="num" w:pos="1553"/>
        </w:tabs>
        <w:ind w:left="1553" w:hanging="360"/>
      </w:pPr>
      <w:rPr>
        <w:rFonts w:ascii="Courier New" w:hAnsi="Courier New" w:cs="Courier New" w:hint="default"/>
      </w:rPr>
    </w:lvl>
    <w:lvl w:ilvl="2" w:tplc="04060005" w:tentative="1">
      <w:start w:val="1"/>
      <w:numFmt w:val="bullet"/>
      <w:lvlText w:val=""/>
      <w:lvlJc w:val="left"/>
      <w:pPr>
        <w:tabs>
          <w:tab w:val="num" w:pos="2273"/>
        </w:tabs>
        <w:ind w:left="2273" w:hanging="360"/>
      </w:pPr>
      <w:rPr>
        <w:rFonts w:ascii="Wingdings" w:hAnsi="Wingdings" w:hint="default"/>
      </w:rPr>
    </w:lvl>
    <w:lvl w:ilvl="3" w:tplc="04060001" w:tentative="1">
      <w:start w:val="1"/>
      <w:numFmt w:val="bullet"/>
      <w:lvlText w:val=""/>
      <w:lvlJc w:val="left"/>
      <w:pPr>
        <w:tabs>
          <w:tab w:val="num" w:pos="2993"/>
        </w:tabs>
        <w:ind w:left="2993" w:hanging="360"/>
      </w:pPr>
      <w:rPr>
        <w:rFonts w:ascii="Symbol" w:hAnsi="Symbol" w:hint="default"/>
      </w:rPr>
    </w:lvl>
    <w:lvl w:ilvl="4" w:tplc="04060003" w:tentative="1">
      <w:start w:val="1"/>
      <w:numFmt w:val="bullet"/>
      <w:lvlText w:val="o"/>
      <w:lvlJc w:val="left"/>
      <w:pPr>
        <w:tabs>
          <w:tab w:val="num" w:pos="3713"/>
        </w:tabs>
        <w:ind w:left="3713" w:hanging="360"/>
      </w:pPr>
      <w:rPr>
        <w:rFonts w:ascii="Courier New" w:hAnsi="Courier New" w:cs="Courier New" w:hint="default"/>
      </w:rPr>
    </w:lvl>
    <w:lvl w:ilvl="5" w:tplc="04060005" w:tentative="1">
      <w:start w:val="1"/>
      <w:numFmt w:val="bullet"/>
      <w:lvlText w:val=""/>
      <w:lvlJc w:val="left"/>
      <w:pPr>
        <w:tabs>
          <w:tab w:val="num" w:pos="4433"/>
        </w:tabs>
        <w:ind w:left="4433" w:hanging="360"/>
      </w:pPr>
      <w:rPr>
        <w:rFonts w:ascii="Wingdings" w:hAnsi="Wingdings" w:hint="default"/>
      </w:rPr>
    </w:lvl>
    <w:lvl w:ilvl="6" w:tplc="04060001" w:tentative="1">
      <w:start w:val="1"/>
      <w:numFmt w:val="bullet"/>
      <w:lvlText w:val=""/>
      <w:lvlJc w:val="left"/>
      <w:pPr>
        <w:tabs>
          <w:tab w:val="num" w:pos="5153"/>
        </w:tabs>
        <w:ind w:left="5153" w:hanging="360"/>
      </w:pPr>
      <w:rPr>
        <w:rFonts w:ascii="Symbol" w:hAnsi="Symbol" w:hint="default"/>
      </w:rPr>
    </w:lvl>
    <w:lvl w:ilvl="7" w:tplc="04060003" w:tentative="1">
      <w:start w:val="1"/>
      <w:numFmt w:val="bullet"/>
      <w:lvlText w:val="o"/>
      <w:lvlJc w:val="left"/>
      <w:pPr>
        <w:tabs>
          <w:tab w:val="num" w:pos="5873"/>
        </w:tabs>
        <w:ind w:left="5873" w:hanging="360"/>
      </w:pPr>
      <w:rPr>
        <w:rFonts w:ascii="Courier New" w:hAnsi="Courier New" w:cs="Courier New" w:hint="default"/>
      </w:rPr>
    </w:lvl>
    <w:lvl w:ilvl="8" w:tplc="04060005" w:tentative="1">
      <w:start w:val="1"/>
      <w:numFmt w:val="bullet"/>
      <w:lvlText w:val=""/>
      <w:lvlJc w:val="left"/>
      <w:pPr>
        <w:tabs>
          <w:tab w:val="num" w:pos="6593"/>
        </w:tabs>
        <w:ind w:left="6593" w:hanging="360"/>
      </w:pPr>
      <w:rPr>
        <w:rFonts w:ascii="Wingdings" w:hAnsi="Wingdings" w:hint="default"/>
      </w:rPr>
    </w:lvl>
  </w:abstractNum>
  <w:abstractNum w:abstractNumId="6">
    <w:nsid w:val="1CD55482"/>
    <w:multiLevelType w:val="hybridMultilevel"/>
    <w:tmpl w:val="7C6A7440"/>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7">
    <w:nsid w:val="208545F2"/>
    <w:multiLevelType w:val="hybridMultilevel"/>
    <w:tmpl w:val="1A64E11A"/>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nsid w:val="2BED56B6"/>
    <w:multiLevelType w:val="hybridMultilevel"/>
    <w:tmpl w:val="BD225D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2E523FB5"/>
    <w:multiLevelType w:val="hybridMultilevel"/>
    <w:tmpl w:val="976692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2F493F73"/>
    <w:multiLevelType w:val="hybridMultilevel"/>
    <w:tmpl w:val="CAFE17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372E2337"/>
    <w:multiLevelType w:val="multilevel"/>
    <w:tmpl w:val="74F42A5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D9C3B43"/>
    <w:multiLevelType w:val="multilevel"/>
    <w:tmpl w:val="6E32EAAE"/>
    <w:lvl w:ilvl="0">
      <w:start w:val="1"/>
      <w:numFmt w:val="bullet"/>
      <w:lvlText w:val=""/>
      <w:lvlJc w:val="left"/>
      <w:pPr>
        <w:tabs>
          <w:tab w:val="num" w:pos="567"/>
        </w:tabs>
        <w:ind w:left="567"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DD9600A"/>
    <w:multiLevelType w:val="hybridMultilevel"/>
    <w:tmpl w:val="7408FB5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400F5053"/>
    <w:multiLevelType w:val="hybridMultilevel"/>
    <w:tmpl w:val="98AEDA80"/>
    <w:lvl w:ilvl="0" w:tplc="52D2BFF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4EF83A17"/>
    <w:multiLevelType w:val="hybridMultilevel"/>
    <w:tmpl w:val="80048430"/>
    <w:lvl w:ilvl="0" w:tplc="0406000F">
      <w:start w:val="1"/>
      <w:numFmt w:val="decimal"/>
      <w:lvlText w:val="%1."/>
      <w:lvlJc w:val="left"/>
      <w:pPr>
        <w:ind w:left="782" w:hanging="360"/>
      </w:pPr>
    </w:lvl>
    <w:lvl w:ilvl="1" w:tplc="04060019" w:tentative="1">
      <w:start w:val="1"/>
      <w:numFmt w:val="lowerLetter"/>
      <w:lvlText w:val="%2."/>
      <w:lvlJc w:val="left"/>
      <w:pPr>
        <w:ind w:left="1502" w:hanging="360"/>
      </w:pPr>
    </w:lvl>
    <w:lvl w:ilvl="2" w:tplc="0406001B" w:tentative="1">
      <w:start w:val="1"/>
      <w:numFmt w:val="lowerRoman"/>
      <w:lvlText w:val="%3."/>
      <w:lvlJc w:val="right"/>
      <w:pPr>
        <w:ind w:left="2222" w:hanging="180"/>
      </w:pPr>
    </w:lvl>
    <w:lvl w:ilvl="3" w:tplc="0406000F" w:tentative="1">
      <w:start w:val="1"/>
      <w:numFmt w:val="decimal"/>
      <w:lvlText w:val="%4."/>
      <w:lvlJc w:val="left"/>
      <w:pPr>
        <w:ind w:left="2942" w:hanging="360"/>
      </w:pPr>
    </w:lvl>
    <w:lvl w:ilvl="4" w:tplc="04060019" w:tentative="1">
      <w:start w:val="1"/>
      <w:numFmt w:val="lowerLetter"/>
      <w:lvlText w:val="%5."/>
      <w:lvlJc w:val="left"/>
      <w:pPr>
        <w:ind w:left="3662" w:hanging="360"/>
      </w:pPr>
    </w:lvl>
    <w:lvl w:ilvl="5" w:tplc="0406001B" w:tentative="1">
      <w:start w:val="1"/>
      <w:numFmt w:val="lowerRoman"/>
      <w:lvlText w:val="%6."/>
      <w:lvlJc w:val="right"/>
      <w:pPr>
        <w:ind w:left="4382" w:hanging="180"/>
      </w:pPr>
    </w:lvl>
    <w:lvl w:ilvl="6" w:tplc="0406000F" w:tentative="1">
      <w:start w:val="1"/>
      <w:numFmt w:val="decimal"/>
      <w:lvlText w:val="%7."/>
      <w:lvlJc w:val="left"/>
      <w:pPr>
        <w:ind w:left="5102" w:hanging="360"/>
      </w:pPr>
    </w:lvl>
    <w:lvl w:ilvl="7" w:tplc="04060019" w:tentative="1">
      <w:start w:val="1"/>
      <w:numFmt w:val="lowerLetter"/>
      <w:lvlText w:val="%8."/>
      <w:lvlJc w:val="left"/>
      <w:pPr>
        <w:ind w:left="5822" w:hanging="360"/>
      </w:pPr>
    </w:lvl>
    <w:lvl w:ilvl="8" w:tplc="0406001B" w:tentative="1">
      <w:start w:val="1"/>
      <w:numFmt w:val="lowerRoman"/>
      <w:lvlText w:val="%9."/>
      <w:lvlJc w:val="right"/>
      <w:pPr>
        <w:ind w:left="6542" w:hanging="180"/>
      </w:pPr>
    </w:lvl>
  </w:abstractNum>
  <w:abstractNum w:abstractNumId="16">
    <w:nsid w:val="4F152177"/>
    <w:multiLevelType w:val="hybridMultilevel"/>
    <w:tmpl w:val="00AAFBC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nsid w:val="51CF4998"/>
    <w:multiLevelType w:val="hybridMultilevel"/>
    <w:tmpl w:val="010EB9AC"/>
    <w:lvl w:ilvl="0" w:tplc="52D2BFF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nsid w:val="57842BAA"/>
    <w:multiLevelType w:val="singleLevel"/>
    <w:tmpl w:val="F70055E2"/>
    <w:lvl w:ilvl="0">
      <w:start w:val="1"/>
      <w:numFmt w:val="bullet"/>
      <w:lvlText w:val=""/>
      <w:lvlJc w:val="left"/>
      <w:pPr>
        <w:tabs>
          <w:tab w:val="num" w:pos="360"/>
        </w:tabs>
        <w:ind w:left="360" w:hanging="360"/>
      </w:pPr>
      <w:rPr>
        <w:rFonts w:ascii="Symbol" w:hAnsi="Symbol" w:hint="default"/>
      </w:rPr>
    </w:lvl>
  </w:abstractNum>
  <w:abstractNum w:abstractNumId="19">
    <w:nsid w:val="59794B76"/>
    <w:multiLevelType w:val="hybridMultilevel"/>
    <w:tmpl w:val="54BAB9D0"/>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nsid w:val="5A4972D3"/>
    <w:multiLevelType w:val="multilevel"/>
    <w:tmpl w:val="6E32EAAE"/>
    <w:lvl w:ilvl="0">
      <w:start w:val="1"/>
      <w:numFmt w:val="bullet"/>
      <w:lvlText w:val=""/>
      <w:lvlJc w:val="left"/>
      <w:pPr>
        <w:tabs>
          <w:tab w:val="num" w:pos="567"/>
        </w:tabs>
        <w:ind w:left="567"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41E2190"/>
    <w:multiLevelType w:val="multilevel"/>
    <w:tmpl w:val="74F42A5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66AD5737"/>
    <w:multiLevelType w:val="hybridMultilevel"/>
    <w:tmpl w:val="B5027F04"/>
    <w:lvl w:ilvl="0" w:tplc="04060011">
      <w:start w:val="1"/>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3">
    <w:nsid w:val="66B6301F"/>
    <w:multiLevelType w:val="hybridMultilevel"/>
    <w:tmpl w:val="8F7C247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nsid w:val="671729D7"/>
    <w:multiLevelType w:val="hybridMultilevel"/>
    <w:tmpl w:val="875E9B4C"/>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5">
    <w:nsid w:val="67A573BA"/>
    <w:multiLevelType w:val="multilevel"/>
    <w:tmpl w:val="4DAAC974"/>
    <w:lvl w:ilvl="0">
      <w:start w:val="1"/>
      <w:numFmt w:val="bullet"/>
      <w:lvlText w:val=""/>
      <w:lvlJc w:val="left"/>
      <w:pPr>
        <w:tabs>
          <w:tab w:val="num" w:pos="833"/>
        </w:tabs>
        <w:ind w:left="833" w:hanging="360"/>
      </w:pPr>
      <w:rPr>
        <w:rFonts w:ascii="Symbol" w:hAnsi="Symbol" w:hint="default"/>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26">
    <w:nsid w:val="69E67987"/>
    <w:multiLevelType w:val="hybridMultilevel"/>
    <w:tmpl w:val="0BEE0B1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553"/>
        </w:tabs>
        <w:ind w:left="1553" w:hanging="360"/>
      </w:pPr>
      <w:rPr>
        <w:rFonts w:ascii="Courier New" w:hAnsi="Courier New" w:cs="Courier New" w:hint="default"/>
      </w:rPr>
    </w:lvl>
    <w:lvl w:ilvl="2" w:tplc="04060005" w:tentative="1">
      <w:start w:val="1"/>
      <w:numFmt w:val="bullet"/>
      <w:lvlText w:val=""/>
      <w:lvlJc w:val="left"/>
      <w:pPr>
        <w:tabs>
          <w:tab w:val="num" w:pos="2273"/>
        </w:tabs>
        <w:ind w:left="2273" w:hanging="360"/>
      </w:pPr>
      <w:rPr>
        <w:rFonts w:ascii="Wingdings" w:hAnsi="Wingdings" w:hint="default"/>
      </w:rPr>
    </w:lvl>
    <w:lvl w:ilvl="3" w:tplc="04060001" w:tentative="1">
      <w:start w:val="1"/>
      <w:numFmt w:val="bullet"/>
      <w:lvlText w:val=""/>
      <w:lvlJc w:val="left"/>
      <w:pPr>
        <w:tabs>
          <w:tab w:val="num" w:pos="2993"/>
        </w:tabs>
        <w:ind w:left="2993" w:hanging="360"/>
      </w:pPr>
      <w:rPr>
        <w:rFonts w:ascii="Symbol" w:hAnsi="Symbol" w:hint="default"/>
      </w:rPr>
    </w:lvl>
    <w:lvl w:ilvl="4" w:tplc="04060003" w:tentative="1">
      <w:start w:val="1"/>
      <w:numFmt w:val="bullet"/>
      <w:lvlText w:val="o"/>
      <w:lvlJc w:val="left"/>
      <w:pPr>
        <w:tabs>
          <w:tab w:val="num" w:pos="3713"/>
        </w:tabs>
        <w:ind w:left="3713" w:hanging="360"/>
      </w:pPr>
      <w:rPr>
        <w:rFonts w:ascii="Courier New" w:hAnsi="Courier New" w:cs="Courier New" w:hint="default"/>
      </w:rPr>
    </w:lvl>
    <w:lvl w:ilvl="5" w:tplc="04060005" w:tentative="1">
      <w:start w:val="1"/>
      <w:numFmt w:val="bullet"/>
      <w:lvlText w:val=""/>
      <w:lvlJc w:val="left"/>
      <w:pPr>
        <w:tabs>
          <w:tab w:val="num" w:pos="4433"/>
        </w:tabs>
        <w:ind w:left="4433" w:hanging="360"/>
      </w:pPr>
      <w:rPr>
        <w:rFonts w:ascii="Wingdings" w:hAnsi="Wingdings" w:hint="default"/>
      </w:rPr>
    </w:lvl>
    <w:lvl w:ilvl="6" w:tplc="04060001" w:tentative="1">
      <w:start w:val="1"/>
      <w:numFmt w:val="bullet"/>
      <w:lvlText w:val=""/>
      <w:lvlJc w:val="left"/>
      <w:pPr>
        <w:tabs>
          <w:tab w:val="num" w:pos="5153"/>
        </w:tabs>
        <w:ind w:left="5153" w:hanging="360"/>
      </w:pPr>
      <w:rPr>
        <w:rFonts w:ascii="Symbol" w:hAnsi="Symbol" w:hint="default"/>
      </w:rPr>
    </w:lvl>
    <w:lvl w:ilvl="7" w:tplc="04060003" w:tentative="1">
      <w:start w:val="1"/>
      <w:numFmt w:val="bullet"/>
      <w:lvlText w:val="o"/>
      <w:lvlJc w:val="left"/>
      <w:pPr>
        <w:tabs>
          <w:tab w:val="num" w:pos="5873"/>
        </w:tabs>
        <w:ind w:left="5873" w:hanging="360"/>
      </w:pPr>
      <w:rPr>
        <w:rFonts w:ascii="Courier New" w:hAnsi="Courier New" w:cs="Courier New" w:hint="default"/>
      </w:rPr>
    </w:lvl>
    <w:lvl w:ilvl="8" w:tplc="04060005" w:tentative="1">
      <w:start w:val="1"/>
      <w:numFmt w:val="bullet"/>
      <w:lvlText w:val=""/>
      <w:lvlJc w:val="left"/>
      <w:pPr>
        <w:tabs>
          <w:tab w:val="num" w:pos="6593"/>
        </w:tabs>
        <w:ind w:left="6593" w:hanging="360"/>
      </w:pPr>
      <w:rPr>
        <w:rFonts w:ascii="Wingdings" w:hAnsi="Wingdings" w:hint="default"/>
      </w:rPr>
    </w:lvl>
  </w:abstractNum>
  <w:abstractNum w:abstractNumId="27">
    <w:nsid w:val="7A0312B0"/>
    <w:multiLevelType w:val="multilevel"/>
    <w:tmpl w:val="010EB9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F3C741E"/>
    <w:multiLevelType w:val="hybridMultilevel"/>
    <w:tmpl w:val="072461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4"/>
  </w:num>
  <w:num w:numId="6">
    <w:abstractNumId w:val="4"/>
  </w:num>
  <w:num w:numId="7">
    <w:abstractNumId w:val="16"/>
  </w:num>
  <w:num w:numId="8">
    <w:abstractNumId w:val="19"/>
  </w:num>
  <w:num w:numId="9">
    <w:abstractNumId w:val="2"/>
  </w:num>
  <w:num w:numId="10">
    <w:abstractNumId w:val="17"/>
  </w:num>
  <w:num w:numId="11">
    <w:abstractNumId w:val="27"/>
  </w:num>
  <w:num w:numId="12">
    <w:abstractNumId w:val="7"/>
  </w:num>
  <w:num w:numId="13">
    <w:abstractNumId w:val="14"/>
  </w:num>
  <w:num w:numId="14">
    <w:abstractNumId w:val="0"/>
  </w:num>
  <w:num w:numId="15">
    <w:abstractNumId w:val="23"/>
  </w:num>
  <w:num w:numId="16">
    <w:abstractNumId w:val="5"/>
  </w:num>
  <w:num w:numId="17">
    <w:abstractNumId w:val="25"/>
  </w:num>
  <w:num w:numId="18">
    <w:abstractNumId w:val="26"/>
  </w:num>
  <w:num w:numId="19">
    <w:abstractNumId w:val="20"/>
  </w:num>
  <w:num w:numId="20">
    <w:abstractNumId w:val="21"/>
  </w:num>
  <w:num w:numId="21">
    <w:abstractNumId w:val="12"/>
  </w:num>
  <w:num w:numId="22">
    <w:abstractNumId w:val="11"/>
  </w:num>
  <w:num w:numId="23">
    <w:abstractNumId w:val="3"/>
  </w:num>
  <w:num w:numId="24">
    <w:abstractNumId w:val="1"/>
  </w:num>
  <w:num w:numId="25">
    <w:abstractNumId w:val="28"/>
  </w:num>
  <w:num w:numId="26">
    <w:abstractNumId w:val="9"/>
  </w:num>
  <w:num w:numId="27">
    <w:abstractNumId w:val="8"/>
  </w:num>
  <w:num w:numId="28">
    <w:abstractNumId w:val="13"/>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C3"/>
    <w:rsid w:val="00010216"/>
    <w:rsid w:val="00010804"/>
    <w:rsid w:val="00034123"/>
    <w:rsid w:val="00036208"/>
    <w:rsid w:val="00036CB3"/>
    <w:rsid w:val="00050766"/>
    <w:rsid w:val="00052EB4"/>
    <w:rsid w:val="00073DD7"/>
    <w:rsid w:val="00086A8E"/>
    <w:rsid w:val="00093846"/>
    <w:rsid w:val="00095697"/>
    <w:rsid w:val="00096071"/>
    <w:rsid w:val="000A4868"/>
    <w:rsid w:val="000A677A"/>
    <w:rsid w:val="000A680C"/>
    <w:rsid w:val="000B5974"/>
    <w:rsid w:val="0010637D"/>
    <w:rsid w:val="00107F83"/>
    <w:rsid w:val="00111A3F"/>
    <w:rsid w:val="00112AB1"/>
    <w:rsid w:val="00113E51"/>
    <w:rsid w:val="0011645C"/>
    <w:rsid w:val="00122F97"/>
    <w:rsid w:val="0012674E"/>
    <w:rsid w:val="001337FF"/>
    <w:rsid w:val="00135B56"/>
    <w:rsid w:val="00140A2F"/>
    <w:rsid w:val="001417F8"/>
    <w:rsid w:val="00141E5B"/>
    <w:rsid w:val="001448CA"/>
    <w:rsid w:val="0014629C"/>
    <w:rsid w:val="0015255C"/>
    <w:rsid w:val="001551C1"/>
    <w:rsid w:val="0016150A"/>
    <w:rsid w:val="00163795"/>
    <w:rsid w:val="0016444F"/>
    <w:rsid w:val="00164E9D"/>
    <w:rsid w:val="001660B3"/>
    <w:rsid w:val="00174449"/>
    <w:rsid w:val="0018792F"/>
    <w:rsid w:val="00196117"/>
    <w:rsid w:val="001A580C"/>
    <w:rsid w:val="001B1B53"/>
    <w:rsid w:val="001B4EB9"/>
    <w:rsid w:val="001B7042"/>
    <w:rsid w:val="001B7C8D"/>
    <w:rsid w:val="001C2FA9"/>
    <w:rsid w:val="001D29CC"/>
    <w:rsid w:val="001E0F97"/>
    <w:rsid w:val="001F00F2"/>
    <w:rsid w:val="001F60C1"/>
    <w:rsid w:val="001F75FD"/>
    <w:rsid w:val="00203E14"/>
    <w:rsid w:val="00211D33"/>
    <w:rsid w:val="00213B88"/>
    <w:rsid w:val="0021557E"/>
    <w:rsid w:val="0022054B"/>
    <w:rsid w:val="00224784"/>
    <w:rsid w:val="002301E3"/>
    <w:rsid w:val="002324C8"/>
    <w:rsid w:val="00236B32"/>
    <w:rsid w:val="00244B2A"/>
    <w:rsid w:val="00256A18"/>
    <w:rsid w:val="00257DE4"/>
    <w:rsid w:val="0026641C"/>
    <w:rsid w:val="00276638"/>
    <w:rsid w:val="002930F0"/>
    <w:rsid w:val="00294AC3"/>
    <w:rsid w:val="002A2EA5"/>
    <w:rsid w:val="002A4C09"/>
    <w:rsid w:val="002A58ED"/>
    <w:rsid w:val="002A6429"/>
    <w:rsid w:val="002D0ECF"/>
    <w:rsid w:val="002E4A50"/>
    <w:rsid w:val="002F4B8E"/>
    <w:rsid w:val="00306DCD"/>
    <w:rsid w:val="00326491"/>
    <w:rsid w:val="00330356"/>
    <w:rsid w:val="0034281E"/>
    <w:rsid w:val="003440E1"/>
    <w:rsid w:val="00360F1A"/>
    <w:rsid w:val="00370A62"/>
    <w:rsid w:val="0037558B"/>
    <w:rsid w:val="003759A0"/>
    <w:rsid w:val="00375E51"/>
    <w:rsid w:val="00377508"/>
    <w:rsid w:val="0038005D"/>
    <w:rsid w:val="003917C8"/>
    <w:rsid w:val="003A2190"/>
    <w:rsid w:val="003A45E7"/>
    <w:rsid w:val="003C48AB"/>
    <w:rsid w:val="003D38DD"/>
    <w:rsid w:val="003F2158"/>
    <w:rsid w:val="003F4720"/>
    <w:rsid w:val="003F7DAB"/>
    <w:rsid w:val="004003C4"/>
    <w:rsid w:val="00400570"/>
    <w:rsid w:val="00400ECE"/>
    <w:rsid w:val="00412268"/>
    <w:rsid w:val="00415968"/>
    <w:rsid w:val="00415F57"/>
    <w:rsid w:val="00417450"/>
    <w:rsid w:val="00422348"/>
    <w:rsid w:val="00424DFC"/>
    <w:rsid w:val="00432ABD"/>
    <w:rsid w:val="00445749"/>
    <w:rsid w:val="004546D5"/>
    <w:rsid w:val="00455CE1"/>
    <w:rsid w:val="00461D3F"/>
    <w:rsid w:val="00475967"/>
    <w:rsid w:val="00480BAD"/>
    <w:rsid w:val="00492B29"/>
    <w:rsid w:val="00492D8B"/>
    <w:rsid w:val="004A0F09"/>
    <w:rsid w:val="004D32DE"/>
    <w:rsid w:val="004D4D5B"/>
    <w:rsid w:val="004E399D"/>
    <w:rsid w:val="005013B9"/>
    <w:rsid w:val="005165E0"/>
    <w:rsid w:val="005312E2"/>
    <w:rsid w:val="0053348D"/>
    <w:rsid w:val="00546E89"/>
    <w:rsid w:val="005538B8"/>
    <w:rsid w:val="005556D1"/>
    <w:rsid w:val="00557CB7"/>
    <w:rsid w:val="0057149A"/>
    <w:rsid w:val="005818A8"/>
    <w:rsid w:val="0058657E"/>
    <w:rsid w:val="0059479B"/>
    <w:rsid w:val="00597E02"/>
    <w:rsid w:val="005C0354"/>
    <w:rsid w:val="005C4583"/>
    <w:rsid w:val="005C6C5F"/>
    <w:rsid w:val="005D1929"/>
    <w:rsid w:val="005D65DB"/>
    <w:rsid w:val="005E0FA5"/>
    <w:rsid w:val="005E4785"/>
    <w:rsid w:val="005E5AD1"/>
    <w:rsid w:val="00602FC2"/>
    <w:rsid w:val="00605D94"/>
    <w:rsid w:val="00613E5A"/>
    <w:rsid w:val="00633885"/>
    <w:rsid w:val="0063588F"/>
    <w:rsid w:val="0064024A"/>
    <w:rsid w:val="00640886"/>
    <w:rsid w:val="00641C76"/>
    <w:rsid w:val="00643141"/>
    <w:rsid w:val="006460C8"/>
    <w:rsid w:val="00650DD2"/>
    <w:rsid w:val="00652708"/>
    <w:rsid w:val="006600D8"/>
    <w:rsid w:val="00666AA1"/>
    <w:rsid w:val="0066772C"/>
    <w:rsid w:val="006747EF"/>
    <w:rsid w:val="006753D6"/>
    <w:rsid w:val="00677AF1"/>
    <w:rsid w:val="00690874"/>
    <w:rsid w:val="006A5082"/>
    <w:rsid w:val="006B0846"/>
    <w:rsid w:val="006B0D2F"/>
    <w:rsid w:val="006B1426"/>
    <w:rsid w:val="006C3EAF"/>
    <w:rsid w:val="006E26AE"/>
    <w:rsid w:val="006E6636"/>
    <w:rsid w:val="006E7961"/>
    <w:rsid w:val="006F3BA0"/>
    <w:rsid w:val="006F63CD"/>
    <w:rsid w:val="006F6C21"/>
    <w:rsid w:val="00705407"/>
    <w:rsid w:val="007079AD"/>
    <w:rsid w:val="0072020A"/>
    <w:rsid w:val="00723719"/>
    <w:rsid w:val="00723F73"/>
    <w:rsid w:val="0073621A"/>
    <w:rsid w:val="00760CE7"/>
    <w:rsid w:val="007745D5"/>
    <w:rsid w:val="00776B3E"/>
    <w:rsid w:val="007B2264"/>
    <w:rsid w:val="007B2AB6"/>
    <w:rsid w:val="007B7842"/>
    <w:rsid w:val="007D502A"/>
    <w:rsid w:val="007E5FB0"/>
    <w:rsid w:val="007F0D08"/>
    <w:rsid w:val="007F6BCA"/>
    <w:rsid w:val="00800E86"/>
    <w:rsid w:val="00801F77"/>
    <w:rsid w:val="008058A4"/>
    <w:rsid w:val="00807134"/>
    <w:rsid w:val="00814638"/>
    <w:rsid w:val="0081586A"/>
    <w:rsid w:val="008161D5"/>
    <w:rsid w:val="008169E5"/>
    <w:rsid w:val="0082064E"/>
    <w:rsid w:val="00825475"/>
    <w:rsid w:val="008455B9"/>
    <w:rsid w:val="0086051D"/>
    <w:rsid w:val="00870FCB"/>
    <w:rsid w:val="00873396"/>
    <w:rsid w:val="0088188B"/>
    <w:rsid w:val="008864AC"/>
    <w:rsid w:val="0088740F"/>
    <w:rsid w:val="008A7EA7"/>
    <w:rsid w:val="008B1BDB"/>
    <w:rsid w:val="008C6199"/>
    <w:rsid w:val="008F1555"/>
    <w:rsid w:val="008F1941"/>
    <w:rsid w:val="008F4889"/>
    <w:rsid w:val="00932A53"/>
    <w:rsid w:val="00932FF0"/>
    <w:rsid w:val="009343D3"/>
    <w:rsid w:val="00940A70"/>
    <w:rsid w:val="0095223E"/>
    <w:rsid w:val="00967191"/>
    <w:rsid w:val="0096753B"/>
    <w:rsid w:val="00974F48"/>
    <w:rsid w:val="00975F0F"/>
    <w:rsid w:val="00980485"/>
    <w:rsid w:val="0098417C"/>
    <w:rsid w:val="00990B2C"/>
    <w:rsid w:val="009910B0"/>
    <w:rsid w:val="009920A1"/>
    <w:rsid w:val="0099351D"/>
    <w:rsid w:val="009A18E3"/>
    <w:rsid w:val="009A6576"/>
    <w:rsid w:val="009B72EE"/>
    <w:rsid w:val="009C6095"/>
    <w:rsid w:val="009D6EBC"/>
    <w:rsid w:val="009E2384"/>
    <w:rsid w:val="009F15AE"/>
    <w:rsid w:val="00A10460"/>
    <w:rsid w:val="00A1410D"/>
    <w:rsid w:val="00A17105"/>
    <w:rsid w:val="00A2225A"/>
    <w:rsid w:val="00A270DD"/>
    <w:rsid w:val="00A31524"/>
    <w:rsid w:val="00A3715E"/>
    <w:rsid w:val="00A37DBF"/>
    <w:rsid w:val="00A4143F"/>
    <w:rsid w:val="00A41870"/>
    <w:rsid w:val="00A45D7F"/>
    <w:rsid w:val="00A502D5"/>
    <w:rsid w:val="00A561ED"/>
    <w:rsid w:val="00A578E8"/>
    <w:rsid w:val="00A60E3F"/>
    <w:rsid w:val="00A61766"/>
    <w:rsid w:val="00A73EAD"/>
    <w:rsid w:val="00A95BC6"/>
    <w:rsid w:val="00A979B0"/>
    <w:rsid w:val="00AA7968"/>
    <w:rsid w:val="00AB1E07"/>
    <w:rsid w:val="00AB26BF"/>
    <w:rsid w:val="00AB7F06"/>
    <w:rsid w:val="00AD00C2"/>
    <w:rsid w:val="00AD1E33"/>
    <w:rsid w:val="00AD3C0E"/>
    <w:rsid w:val="00AD4A58"/>
    <w:rsid w:val="00AD4B44"/>
    <w:rsid w:val="00AE0A26"/>
    <w:rsid w:val="00AE1521"/>
    <w:rsid w:val="00AF3C43"/>
    <w:rsid w:val="00B0461B"/>
    <w:rsid w:val="00B13218"/>
    <w:rsid w:val="00B21051"/>
    <w:rsid w:val="00B230FB"/>
    <w:rsid w:val="00B23FDB"/>
    <w:rsid w:val="00B30BEE"/>
    <w:rsid w:val="00B361D8"/>
    <w:rsid w:val="00B37909"/>
    <w:rsid w:val="00B37EC9"/>
    <w:rsid w:val="00B40B53"/>
    <w:rsid w:val="00B42749"/>
    <w:rsid w:val="00B45E33"/>
    <w:rsid w:val="00B63E0C"/>
    <w:rsid w:val="00B743A1"/>
    <w:rsid w:val="00B82F2F"/>
    <w:rsid w:val="00B952F6"/>
    <w:rsid w:val="00BA0D91"/>
    <w:rsid w:val="00BA627A"/>
    <w:rsid w:val="00BC5FB2"/>
    <w:rsid w:val="00BD32EB"/>
    <w:rsid w:val="00BD5319"/>
    <w:rsid w:val="00BE7480"/>
    <w:rsid w:val="00C06F93"/>
    <w:rsid w:val="00C0778B"/>
    <w:rsid w:val="00C507F2"/>
    <w:rsid w:val="00C55BCA"/>
    <w:rsid w:val="00C80472"/>
    <w:rsid w:val="00C8130F"/>
    <w:rsid w:val="00C95A47"/>
    <w:rsid w:val="00CC00B1"/>
    <w:rsid w:val="00CD212B"/>
    <w:rsid w:val="00CE2B07"/>
    <w:rsid w:val="00CE4147"/>
    <w:rsid w:val="00CE6A2B"/>
    <w:rsid w:val="00CF271F"/>
    <w:rsid w:val="00D02766"/>
    <w:rsid w:val="00D17076"/>
    <w:rsid w:val="00D23AB1"/>
    <w:rsid w:val="00D26749"/>
    <w:rsid w:val="00D32535"/>
    <w:rsid w:val="00D327DA"/>
    <w:rsid w:val="00D45D70"/>
    <w:rsid w:val="00D4729A"/>
    <w:rsid w:val="00D51658"/>
    <w:rsid w:val="00D54DC2"/>
    <w:rsid w:val="00D56624"/>
    <w:rsid w:val="00D625F3"/>
    <w:rsid w:val="00D77AE2"/>
    <w:rsid w:val="00D77BE4"/>
    <w:rsid w:val="00D84FB3"/>
    <w:rsid w:val="00D93A07"/>
    <w:rsid w:val="00D951FA"/>
    <w:rsid w:val="00D95804"/>
    <w:rsid w:val="00DB4CAC"/>
    <w:rsid w:val="00DB60A4"/>
    <w:rsid w:val="00DB6AB9"/>
    <w:rsid w:val="00DB76D3"/>
    <w:rsid w:val="00DE1DE0"/>
    <w:rsid w:val="00DE352C"/>
    <w:rsid w:val="00DF2EE2"/>
    <w:rsid w:val="00E002BE"/>
    <w:rsid w:val="00E1134D"/>
    <w:rsid w:val="00E2483C"/>
    <w:rsid w:val="00E47148"/>
    <w:rsid w:val="00E54750"/>
    <w:rsid w:val="00E57E2A"/>
    <w:rsid w:val="00E71594"/>
    <w:rsid w:val="00E80B05"/>
    <w:rsid w:val="00E81BE9"/>
    <w:rsid w:val="00E8384D"/>
    <w:rsid w:val="00E84616"/>
    <w:rsid w:val="00E96613"/>
    <w:rsid w:val="00EA0896"/>
    <w:rsid w:val="00EA19C8"/>
    <w:rsid w:val="00EA41B5"/>
    <w:rsid w:val="00EB0992"/>
    <w:rsid w:val="00EC2E79"/>
    <w:rsid w:val="00ED592E"/>
    <w:rsid w:val="00ED6675"/>
    <w:rsid w:val="00EE2120"/>
    <w:rsid w:val="00EF0C4A"/>
    <w:rsid w:val="00EF4FD4"/>
    <w:rsid w:val="00EF5C0F"/>
    <w:rsid w:val="00EF78E6"/>
    <w:rsid w:val="00F163FC"/>
    <w:rsid w:val="00F43AE8"/>
    <w:rsid w:val="00F47154"/>
    <w:rsid w:val="00F545B0"/>
    <w:rsid w:val="00F63942"/>
    <w:rsid w:val="00F75EE1"/>
    <w:rsid w:val="00F818EB"/>
    <w:rsid w:val="00F8783B"/>
    <w:rsid w:val="00F9289E"/>
    <w:rsid w:val="00F94FE6"/>
    <w:rsid w:val="00FA0368"/>
    <w:rsid w:val="00FA6366"/>
    <w:rsid w:val="00FB41D5"/>
    <w:rsid w:val="00FC0F2F"/>
    <w:rsid w:val="00FC2996"/>
    <w:rsid w:val="00FC48D0"/>
    <w:rsid w:val="00FC4B43"/>
    <w:rsid w:val="00FC5FAF"/>
    <w:rsid w:val="00FE4FB1"/>
    <w:rsid w:val="00FF4A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exact"/>
    </w:pPr>
    <w:rPr>
      <w:sz w:val="24"/>
    </w:rPr>
  </w:style>
  <w:style w:type="paragraph" w:styleId="Overskrift1">
    <w:name w:val="heading 1"/>
    <w:basedOn w:val="Normal"/>
    <w:next w:val="Normal"/>
    <w:qFormat/>
    <w:pPr>
      <w:keepNext/>
      <w:outlineLvl w:val="0"/>
    </w:pPr>
    <w:rPr>
      <w:b/>
    </w:rPr>
  </w:style>
  <w:style w:type="paragraph" w:styleId="Overskrift2">
    <w:name w:val="heading 2"/>
    <w:basedOn w:val="Normal"/>
    <w:next w:val="Normal"/>
    <w:qFormat/>
    <w:rsid w:val="00801F77"/>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character" w:styleId="Sidetal">
    <w:name w:val="page number"/>
    <w:basedOn w:val="Standardskrifttypeiafsnit"/>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pPr>
      <w:jc w:val="both"/>
    </w:pPr>
  </w:style>
  <w:style w:type="paragraph" w:customStyle="1" w:styleId="nederstskakt2">
    <w:name w:val="nederst skakt2"/>
    <w:basedOn w:val="nederstskakt"/>
    <w:pPr>
      <w:framePr w:wrap="around"/>
    </w:pPr>
    <w:rPr>
      <w:rFonts w:ascii="Arial" w:hAnsi="Arial"/>
    </w:rPr>
  </w:style>
  <w:style w:type="character" w:styleId="Hyperlink">
    <w:name w:val="Hyperlink"/>
    <w:rPr>
      <w:color w:val="0000FF"/>
      <w:u w:val="single"/>
    </w:rPr>
  </w:style>
  <w:style w:type="character" w:styleId="BesgtHyperlink">
    <w:name w:val="FollowedHyperlink"/>
    <w:rPr>
      <w:color w:val="800080"/>
      <w:u w:val="single"/>
    </w:rPr>
  </w:style>
  <w:style w:type="character" w:customStyle="1" w:styleId="skaktTegn">
    <w:name w:val="skakt Tegn"/>
    <w:link w:val="skakt"/>
    <w:rsid w:val="001E0F97"/>
    <w:rPr>
      <w:rFonts w:ascii="Arial" w:hAnsi="Arial"/>
      <w:sz w:val="15"/>
      <w:lang w:val="da-DK" w:eastAsia="da-DK" w:bidi="ar-SA"/>
    </w:rPr>
  </w:style>
  <w:style w:type="table" w:styleId="Tabel-Gitter">
    <w:name w:val="Table Grid"/>
    <w:basedOn w:val="Tabel-Normal"/>
    <w:rsid w:val="00EA4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Kommentarhenvisning">
    <w:name w:val="annotation reference"/>
    <w:uiPriority w:val="99"/>
    <w:semiHidden/>
    <w:rsid w:val="002324C8"/>
    <w:rPr>
      <w:sz w:val="16"/>
      <w:szCs w:val="16"/>
    </w:rPr>
  </w:style>
  <w:style w:type="paragraph" w:styleId="Kommentartekst">
    <w:name w:val="annotation text"/>
    <w:basedOn w:val="Normal"/>
    <w:link w:val="KommentartekstTegn"/>
    <w:uiPriority w:val="99"/>
    <w:rsid w:val="002324C8"/>
    <w:rPr>
      <w:sz w:val="20"/>
    </w:rPr>
  </w:style>
  <w:style w:type="paragraph" w:styleId="Kommentaremne">
    <w:name w:val="annotation subject"/>
    <w:basedOn w:val="Kommentartekst"/>
    <w:next w:val="Kommentartekst"/>
    <w:semiHidden/>
    <w:rsid w:val="002324C8"/>
    <w:rPr>
      <w:b/>
      <w:bCs/>
    </w:rPr>
  </w:style>
  <w:style w:type="paragraph" w:styleId="Markeringsbobletekst">
    <w:name w:val="Balloon Text"/>
    <w:basedOn w:val="Normal"/>
    <w:semiHidden/>
    <w:rsid w:val="002324C8"/>
    <w:rPr>
      <w:rFonts w:ascii="Tahoma" w:hAnsi="Tahoma" w:cs="Tahoma"/>
      <w:sz w:val="16"/>
      <w:szCs w:val="16"/>
    </w:rPr>
  </w:style>
  <w:style w:type="paragraph" w:styleId="Fodnotetekst">
    <w:name w:val="footnote text"/>
    <w:basedOn w:val="Normal"/>
    <w:semiHidden/>
    <w:rsid w:val="00807134"/>
    <w:rPr>
      <w:sz w:val="20"/>
    </w:rPr>
  </w:style>
  <w:style w:type="character" w:styleId="Fodnotehenvisning">
    <w:name w:val="footnote reference"/>
    <w:semiHidden/>
    <w:rsid w:val="00807134"/>
    <w:rPr>
      <w:vertAlign w:val="superscript"/>
    </w:rPr>
  </w:style>
  <w:style w:type="paragraph" w:customStyle="1" w:styleId="paragraf">
    <w:name w:val="paragraf"/>
    <w:basedOn w:val="Normal"/>
    <w:rsid w:val="000A4868"/>
    <w:pPr>
      <w:spacing w:before="200" w:line="240" w:lineRule="auto"/>
      <w:ind w:firstLine="240"/>
    </w:pPr>
    <w:rPr>
      <w:rFonts w:ascii="Tahoma" w:hAnsi="Tahoma" w:cs="Tahoma"/>
      <w:color w:val="000000"/>
      <w:szCs w:val="24"/>
    </w:rPr>
  </w:style>
  <w:style w:type="paragraph" w:customStyle="1" w:styleId="stk2">
    <w:name w:val="stk2"/>
    <w:basedOn w:val="Normal"/>
    <w:rsid w:val="000A4868"/>
    <w:pPr>
      <w:spacing w:line="240" w:lineRule="auto"/>
      <w:ind w:firstLine="240"/>
    </w:pPr>
    <w:rPr>
      <w:rFonts w:ascii="Tahoma" w:hAnsi="Tahoma" w:cs="Tahoma"/>
      <w:color w:val="000000"/>
      <w:szCs w:val="24"/>
    </w:rPr>
  </w:style>
  <w:style w:type="character" w:customStyle="1" w:styleId="paragrafnr1">
    <w:name w:val="paragrafnr1"/>
    <w:rsid w:val="000A4868"/>
    <w:rPr>
      <w:rFonts w:ascii="Tahoma" w:hAnsi="Tahoma" w:cs="Tahoma" w:hint="default"/>
      <w:b/>
      <w:bCs/>
      <w:color w:val="000000"/>
      <w:sz w:val="24"/>
      <w:szCs w:val="24"/>
      <w:shd w:val="clear" w:color="auto" w:fill="auto"/>
    </w:rPr>
  </w:style>
  <w:style w:type="character" w:customStyle="1" w:styleId="stknr1">
    <w:name w:val="stknr1"/>
    <w:rsid w:val="000A4868"/>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B230FB"/>
    <w:pPr>
      <w:ind w:left="720"/>
      <w:contextualSpacing/>
    </w:pPr>
  </w:style>
  <w:style w:type="character" w:customStyle="1" w:styleId="KommentartekstTegn">
    <w:name w:val="Kommentartekst Tegn"/>
    <w:basedOn w:val="Standardskrifttypeiafsnit"/>
    <w:link w:val="Kommentartekst"/>
    <w:uiPriority w:val="99"/>
    <w:rsid w:val="00DE1DE0"/>
  </w:style>
  <w:style w:type="paragraph" w:styleId="Korrektur">
    <w:name w:val="Revision"/>
    <w:hidden/>
    <w:uiPriority w:val="99"/>
    <w:semiHidden/>
    <w:rsid w:val="0066772C"/>
    <w:rPr>
      <w:sz w:val="24"/>
    </w:rPr>
  </w:style>
  <w:style w:type="character" w:styleId="Fremhv">
    <w:name w:val="Emphasis"/>
    <w:basedOn w:val="Standardskrifttypeiafsnit"/>
    <w:qFormat/>
    <w:rsid w:val="00A4143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exact"/>
    </w:pPr>
    <w:rPr>
      <w:sz w:val="24"/>
    </w:rPr>
  </w:style>
  <w:style w:type="paragraph" w:styleId="Overskrift1">
    <w:name w:val="heading 1"/>
    <w:basedOn w:val="Normal"/>
    <w:next w:val="Normal"/>
    <w:qFormat/>
    <w:pPr>
      <w:keepNext/>
      <w:outlineLvl w:val="0"/>
    </w:pPr>
    <w:rPr>
      <w:b/>
    </w:rPr>
  </w:style>
  <w:style w:type="paragraph" w:styleId="Overskrift2">
    <w:name w:val="heading 2"/>
    <w:basedOn w:val="Normal"/>
    <w:next w:val="Normal"/>
    <w:qFormat/>
    <w:rsid w:val="00801F77"/>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character" w:styleId="Sidetal">
    <w:name w:val="page number"/>
    <w:basedOn w:val="Standardskrifttypeiafsnit"/>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pPr>
      <w:jc w:val="both"/>
    </w:pPr>
  </w:style>
  <w:style w:type="paragraph" w:customStyle="1" w:styleId="nederstskakt2">
    <w:name w:val="nederst skakt2"/>
    <w:basedOn w:val="nederstskakt"/>
    <w:pPr>
      <w:framePr w:wrap="around"/>
    </w:pPr>
    <w:rPr>
      <w:rFonts w:ascii="Arial" w:hAnsi="Arial"/>
    </w:rPr>
  </w:style>
  <w:style w:type="character" w:styleId="Hyperlink">
    <w:name w:val="Hyperlink"/>
    <w:rPr>
      <w:color w:val="0000FF"/>
      <w:u w:val="single"/>
    </w:rPr>
  </w:style>
  <w:style w:type="character" w:styleId="BesgtHyperlink">
    <w:name w:val="FollowedHyperlink"/>
    <w:rPr>
      <w:color w:val="800080"/>
      <w:u w:val="single"/>
    </w:rPr>
  </w:style>
  <w:style w:type="character" w:customStyle="1" w:styleId="skaktTegn">
    <w:name w:val="skakt Tegn"/>
    <w:link w:val="skakt"/>
    <w:rsid w:val="001E0F97"/>
    <w:rPr>
      <w:rFonts w:ascii="Arial" w:hAnsi="Arial"/>
      <w:sz w:val="15"/>
      <w:lang w:val="da-DK" w:eastAsia="da-DK" w:bidi="ar-SA"/>
    </w:rPr>
  </w:style>
  <w:style w:type="table" w:styleId="Tabel-Gitter">
    <w:name w:val="Table Grid"/>
    <w:basedOn w:val="Tabel-Normal"/>
    <w:rsid w:val="00EA4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Kommentarhenvisning">
    <w:name w:val="annotation reference"/>
    <w:uiPriority w:val="99"/>
    <w:semiHidden/>
    <w:rsid w:val="002324C8"/>
    <w:rPr>
      <w:sz w:val="16"/>
      <w:szCs w:val="16"/>
    </w:rPr>
  </w:style>
  <w:style w:type="paragraph" w:styleId="Kommentartekst">
    <w:name w:val="annotation text"/>
    <w:basedOn w:val="Normal"/>
    <w:link w:val="KommentartekstTegn"/>
    <w:uiPriority w:val="99"/>
    <w:rsid w:val="002324C8"/>
    <w:rPr>
      <w:sz w:val="20"/>
    </w:rPr>
  </w:style>
  <w:style w:type="paragraph" w:styleId="Kommentaremne">
    <w:name w:val="annotation subject"/>
    <w:basedOn w:val="Kommentartekst"/>
    <w:next w:val="Kommentartekst"/>
    <w:semiHidden/>
    <w:rsid w:val="002324C8"/>
    <w:rPr>
      <w:b/>
      <w:bCs/>
    </w:rPr>
  </w:style>
  <w:style w:type="paragraph" w:styleId="Markeringsbobletekst">
    <w:name w:val="Balloon Text"/>
    <w:basedOn w:val="Normal"/>
    <w:semiHidden/>
    <w:rsid w:val="002324C8"/>
    <w:rPr>
      <w:rFonts w:ascii="Tahoma" w:hAnsi="Tahoma" w:cs="Tahoma"/>
      <w:sz w:val="16"/>
      <w:szCs w:val="16"/>
    </w:rPr>
  </w:style>
  <w:style w:type="paragraph" w:styleId="Fodnotetekst">
    <w:name w:val="footnote text"/>
    <w:basedOn w:val="Normal"/>
    <w:semiHidden/>
    <w:rsid w:val="00807134"/>
    <w:rPr>
      <w:sz w:val="20"/>
    </w:rPr>
  </w:style>
  <w:style w:type="character" w:styleId="Fodnotehenvisning">
    <w:name w:val="footnote reference"/>
    <w:semiHidden/>
    <w:rsid w:val="00807134"/>
    <w:rPr>
      <w:vertAlign w:val="superscript"/>
    </w:rPr>
  </w:style>
  <w:style w:type="paragraph" w:customStyle="1" w:styleId="paragraf">
    <w:name w:val="paragraf"/>
    <w:basedOn w:val="Normal"/>
    <w:rsid w:val="000A4868"/>
    <w:pPr>
      <w:spacing w:before="200" w:line="240" w:lineRule="auto"/>
      <w:ind w:firstLine="240"/>
    </w:pPr>
    <w:rPr>
      <w:rFonts w:ascii="Tahoma" w:hAnsi="Tahoma" w:cs="Tahoma"/>
      <w:color w:val="000000"/>
      <w:szCs w:val="24"/>
    </w:rPr>
  </w:style>
  <w:style w:type="paragraph" w:customStyle="1" w:styleId="stk2">
    <w:name w:val="stk2"/>
    <w:basedOn w:val="Normal"/>
    <w:rsid w:val="000A4868"/>
    <w:pPr>
      <w:spacing w:line="240" w:lineRule="auto"/>
      <w:ind w:firstLine="240"/>
    </w:pPr>
    <w:rPr>
      <w:rFonts w:ascii="Tahoma" w:hAnsi="Tahoma" w:cs="Tahoma"/>
      <w:color w:val="000000"/>
      <w:szCs w:val="24"/>
    </w:rPr>
  </w:style>
  <w:style w:type="character" w:customStyle="1" w:styleId="paragrafnr1">
    <w:name w:val="paragrafnr1"/>
    <w:rsid w:val="000A4868"/>
    <w:rPr>
      <w:rFonts w:ascii="Tahoma" w:hAnsi="Tahoma" w:cs="Tahoma" w:hint="default"/>
      <w:b/>
      <w:bCs/>
      <w:color w:val="000000"/>
      <w:sz w:val="24"/>
      <w:szCs w:val="24"/>
      <w:shd w:val="clear" w:color="auto" w:fill="auto"/>
    </w:rPr>
  </w:style>
  <w:style w:type="character" w:customStyle="1" w:styleId="stknr1">
    <w:name w:val="stknr1"/>
    <w:rsid w:val="000A4868"/>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B230FB"/>
    <w:pPr>
      <w:ind w:left="720"/>
      <w:contextualSpacing/>
    </w:pPr>
  </w:style>
  <w:style w:type="character" w:customStyle="1" w:styleId="KommentartekstTegn">
    <w:name w:val="Kommentartekst Tegn"/>
    <w:basedOn w:val="Standardskrifttypeiafsnit"/>
    <w:link w:val="Kommentartekst"/>
    <w:uiPriority w:val="99"/>
    <w:rsid w:val="00DE1DE0"/>
  </w:style>
  <w:style w:type="paragraph" w:styleId="Korrektur">
    <w:name w:val="Revision"/>
    <w:hidden/>
    <w:uiPriority w:val="99"/>
    <w:semiHidden/>
    <w:rsid w:val="0066772C"/>
    <w:rPr>
      <w:sz w:val="24"/>
    </w:rPr>
  </w:style>
  <w:style w:type="character" w:styleId="Fremhv">
    <w:name w:val="Emphasis"/>
    <w:basedOn w:val="Standardskrifttypeiafsnit"/>
    <w:qFormat/>
    <w:rsid w:val="00A414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66175">
      <w:bodyDiv w:val="1"/>
      <w:marLeft w:val="0"/>
      <w:marRight w:val="0"/>
      <w:marTop w:val="0"/>
      <w:marBottom w:val="0"/>
      <w:divBdr>
        <w:top w:val="none" w:sz="0" w:space="0" w:color="auto"/>
        <w:left w:val="none" w:sz="0" w:space="0" w:color="auto"/>
        <w:bottom w:val="none" w:sz="0" w:space="0" w:color="auto"/>
        <w:right w:val="none" w:sz="0" w:space="0" w:color="auto"/>
      </w:divBdr>
    </w:div>
    <w:div w:id="523053691">
      <w:bodyDiv w:val="1"/>
      <w:marLeft w:val="0"/>
      <w:marRight w:val="0"/>
      <w:marTop w:val="0"/>
      <w:marBottom w:val="0"/>
      <w:divBdr>
        <w:top w:val="none" w:sz="0" w:space="0" w:color="auto"/>
        <w:left w:val="none" w:sz="0" w:space="0" w:color="auto"/>
        <w:bottom w:val="none" w:sz="0" w:space="0" w:color="auto"/>
        <w:right w:val="none" w:sz="0" w:space="0" w:color="auto"/>
      </w:divBdr>
    </w:div>
    <w:div w:id="739324335">
      <w:bodyDiv w:val="1"/>
      <w:marLeft w:val="0"/>
      <w:marRight w:val="0"/>
      <w:marTop w:val="0"/>
      <w:marBottom w:val="0"/>
      <w:divBdr>
        <w:top w:val="none" w:sz="0" w:space="0" w:color="auto"/>
        <w:left w:val="none" w:sz="0" w:space="0" w:color="auto"/>
        <w:bottom w:val="none" w:sz="0" w:space="0" w:color="auto"/>
        <w:right w:val="none" w:sz="0" w:space="0" w:color="auto"/>
      </w:divBdr>
    </w:div>
    <w:div w:id="896745783">
      <w:bodyDiv w:val="1"/>
      <w:marLeft w:val="0"/>
      <w:marRight w:val="0"/>
      <w:marTop w:val="0"/>
      <w:marBottom w:val="0"/>
      <w:divBdr>
        <w:top w:val="none" w:sz="0" w:space="0" w:color="auto"/>
        <w:left w:val="none" w:sz="0" w:space="0" w:color="auto"/>
        <w:bottom w:val="none" w:sz="0" w:space="0" w:color="auto"/>
        <w:right w:val="none" w:sz="0" w:space="0" w:color="auto"/>
      </w:divBdr>
    </w:div>
    <w:div w:id="1022246702">
      <w:bodyDiv w:val="1"/>
      <w:marLeft w:val="0"/>
      <w:marRight w:val="0"/>
      <w:marTop w:val="0"/>
      <w:marBottom w:val="0"/>
      <w:divBdr>
        <w:top w:val="none" w:sz="0" w:space="0" w:color="auto"/>
        <w:left w:val="none" w:sz="0" w:space="0" w:color="auto"/>
        <w:bottom w:val="none" w:sz="0" w:space="0" w:color="auto"/>
        <w:right w:val="none" w:sz="0" w:space="0" w:color="auto"/>
      </w:divBdr>
    </w:div>
    <w:div w:id="1204054288">
      <w:bodyDiv w:val="1"/>
      <w:marLeft w:val="0"/>
      <w:marRight w:val="0"/>
      <w:marTop w:val="0"/>
      <w:marBottom w:val="0"/>
      <w:divBdr>
        <w:top w:val="none" w:sz="0" w:space="0" w:color="auto"/>
        <w:left w:val="none" w:sz="0" w:space="0" w:color="auto"/>
        <w:bottom w:val="none" w:sz="0" w:space="0" w:color="auto"/>
        <w:right w:val="none" w:sz="0" w:space="0" w:color="auto"/>
      </w:divBdr>
    </w:div>
    <w:div w:id="1699234162">
      <w:bodyDiv w:val="1"/>
      <w:marLeft w:val="0"/>
      <w:marRight w:val="0"/>
      <w:marTop w:val="0"/>
      <w:marBottom w:val="0"/>
      <w:divBdr>
        <w:top w:val="none" w:sz="0" w:space="0" w:color="auto"/>
        <w:left w:val="none" w:sz="0" w:space="0" w:color="auto"/>
        <w:bottom w:val="none" w:sz="0" w:space="0" w:color="auto"/>
        <w:right w:val="none" w:sz="0" w:space="0" w:color="auto"/>
      </w:divBdr>
      <w:divsChild>
        <w:div w:id="416289889">
          <w:marLeft w:val="0"/>
          <w:marRight w:val="0"/>
          <w:marTop w:val="0"/>
          <w:marBottom w:val="300"/>
          <w:divBdr>
            <w:top w:val="none" w:sz="0" w:space="0" w:color="auto"/>
            <w:left w:val="none" w:sz="0" w:space="0" w:color="auto"/>
            <w:bottom w:val="none" w:sz="0" w:space="0" w:color="auto"/>
            <w:right w:val="none" w:sz="0" w:space="0" w:color="auto"/>
          </w:divBdr>
          <w:divsChild>
            <w:div w:id="386147374">
              <w:marLeft w:val="0"/>
              <w:marRight w:val="0"/>
              <w:marTop w:val="0"/>
              <w:marBottom w:val="0"/>
              <w:divBdr>
                <w:top w:val="none" w:sz="0" w:space="0" w:color="auto"/>
                <w:left w:val="single" w:sz="6" w:space="1" w:color="FFFFFF"/>
                <w:bottom w:val="none" w:sz="0" w:space="0" w:color="auto"/>
                <w:right w:val="single" w:sz="6" w:space="1" w:color="FFFFFF"/>
              </w:divBdr>
              <w:divsChild>
                <w:div w:id="310981913">
                  <w:marLeft w:val="0"/>
                  <w:marRight w:val="0"/>
                  <w:marTop w:val="0"/>
                  <w:marBottom w:val="0"/>
                  <w:divBdr>
                    <w:top w:val="none" w:sz="0" w:space="0" w:color="auto"/>
                    <w:left w:val="none" w:sz="0" w:space="0" w:color="auto"/>
                    <w:bottom w:val="none" w:sz="0" w:space="0" w:color="auto"/>
                    <w:right w:val="none" w:sz="0" w:space="0" w:color="auto"/>
                  </w:divBdr>
                  <w:divsChild>
                    <w:div w:id="419453038">
                      <w:marLeft w:val="0"/>
                      <w:marRight w:val="0"/>
                      <w:marTop w:val="0"/>
                      <w:marBottom w:val="0"/>
                      <w:divBdr>
                        <w:top w:val="none" w:sz="0" w:space="0" w:color="auto"/>
                        <w:left w:val="none" w:sz="0" w:space="0" w:color="auto"/>
                        <w:bottom w:val="none" w:sz="0" w:space="0" w:color="auto"/>
                        <w:right w:val="none" w:sz="0" w:space="0" w:color="auto"/>
                      </w:divBdr>
                      <w:divsChild>
                        <w:div w:id="287664803">
                          <w:marLeft w:val="0"/>
                          <w:marRight w:val="0"/>
                          <w:marTop w:val="0"/>
                          <w:marBottom w:val="0"/>
                          <w:divBdr>
                            <w:top w:val="none" w:sz="0" w:space="0" w:color="auto"/>
                            <w:left w:val="none" w:sz="0" w:space="0" w:color="auto"/>
                            <w:bottom w:val="none" w:sz="0" w:space="0" w:color="auto"/>
                            <w:right w:val="none" w:sz="0" w:space="0" w:color="auto"/>
                          </w:divBdr>
                          <w:divsChild>
                            <w:div w:id="183832918">
                              <w:marLeft w:val="0"/>
                              <w:marRight w:val="0"/>
                              <w:marTop w:val="0"/>
                              <w:marBottom w:val="0"/>
                              <w:divBdr>
                                <w:top w:val="none" w:sz="0" w:space="0" w:color="auto"/>
                                <w:left w:val="none" w:sz="0" w:space="0" w:color="auto"/>
                                <w:bottom w:val="none" w:sz="0" w:space="0" w:color="auto"/>
                                <w:right w:val="none" w:sz="0" w:space="0" w:color="auto"/>
                              </w:divBdr>
                              <w:divsChild>
                                <w:div w:id="554312433">
                                  <w:marLeft w:val="0"/>
                                  <w:marRight w:val="0"/>
                                  <w:marTop w:val="0"/>
                                  <w:marBottom w:val="0"/>
                                  <w:divBdr>
                                    <w:top w:val="none" w:sz="0" w:space="0" w:color="auto"/>
                                    <w:left w:val="none" w:sz="0" w:space="0" w:color="auto"/>
                                    <w:bottom w:val="none" w:sz="0" w:space="0" w:color="auto"/>
                                    <w:right w:val="none" w:sz="0" w:space="0" w:color="auto"/>
                                  </w:divBdr>
                                  <w:divsChild>
                                    <w:div w:id="20413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0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kfst.dk/Vandtilsyn/Benchmarking/Benchmarking-20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0ACDE-8813-4F06-BEFE-4163A458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E127AA18.dotm</Template>
  <TotalTime>780</TotalTime>
  <Pages>30</Pages>
  <Words>8802</Words>
  <Characters>60954</Characters>
  <Application>Microsoft Office Word</Application>
  <DocSecurity>0</DocSecurity>
  <Lines>507</Lines>
  <Paragraphs>139</Paragraphs>
  <ScaleCrop>false</ScaleCrop>
  <HeadingPairs>
    <vt:vector size="2" baseType="variant">
      <vt:variant>
        <vt:lpstr>Titel</vt:lpstr>
      </vt:variant>
      <vt:variant>
        <vt:i4>1</vt:i4>
      </vt:variant>
    </vt:vector>
  </HeadingPairs>
  <TitlesOfParts>
    <vt:vector size="1" baseType="lpstr">
      <vt:lpstr>Brev fra Konkurrencestyrelsen</vt:lpstr>
    </vt:vector>
  </TitlesOfParts>
  <Company>Statens IT</Company>
  <LinksUpToDate>false</LinksUpToDate>
  <CharactersWithSpaces>69617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fra Konkurrencestyrelsen</dc:title>
  <dc:creator>Christian M. Meyer (KFST)</dc:creator>
  <cp:lastModifiedBy>Astrid Else Grønbæk (KFST)</cp:lastModifiedBy>
  <cp:revision>116</cp:revision>
  <cp:lastPrinted>2014-01-07T14:04:00Z</cp:lastPrinted>
  <dcterms:created xsi:type="dcterms:W3CDTF">2013-04-02T10:28:00Z</dcterms:created>
  <dcterms:modified xsi:type="dcterms:W3CDTF">2014-01-07T14:04:00Z</dcterms:modified>
</cp:coreProperties>
</file>