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Pr="008B6647" w:rsidR="006F6C21" w:rsidRDefault="0004183D">
            <w:pPr>
              <w:rPr>
                <w:lang w:val="en-US"/>
              </w:rPr>
            </w:pPr>
            <w:bookmarkStart w:name="_GoBack" w:id="0"/>
            <w:bookmarkEnd w:id="0"/>
            <w:r w:rsidRPr="008B6647">
              <w:rPr>
                <w:lang w:val="en-US"/>
              </w:rPr>
              <w:t>Glostrup Spildevand A/S</w:t>
            </w:r>
          </w:p>
          <w:p w:rsidRPr="008B6647" w:rsidR="0004183D" w:rsidRDefault="0004183D">
            <w:pPr>
              <w:rPr>
                <w:lang w:val="en-US"/>
              </w:rPr>
            </w:pPr>
            <w:r w:rsidRPr="008B6647">
              <w:rPr>
                <w:lang w:val="en-US"/>
              </w:rPr>
              <w:t xml:space="preserve">Att.: Bo Nørbjerg </w:t>
            </w:r>
          </w:p>
          <w:p w:rsidR="0004183D" w:rsidRDefault="0004183D">
            <w:r>
              <w:t>Ørnebjergvej 7</w:t>
            </w:r>
          </w:p>
          <w:p w:rsidR="0004183D" w:rsidRDefault="0004183D">
            <w:r>
              <w:t>2600 Glostrup</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006F6C21" w:rsidP="006F6C21" w:rsidRDefault="00C03D78">
            <w:pPr>
              <w:pStyle w:val="datomv"/>
              <w:framePr w:hSpace="0" w:wrap="auto" w:vAnchor="margin" w:xAlign="left" w:yAlign="inline" w:anchorLock="0"/>
              <w:ind w:left="142" w:hanging="142"/>
              <w:rPr>
                <w:rFonts w:ascii="Arial" w:hAnsi="Arial"/>
                <w:sz w:val="16"/>
              </w:rPr>
            </w:pPr>
            <w:r>
              <w:rPr>
                <w:rFonts w:ascii="Arial" w:hAnsi="Arial"/>
                <w:sz w:val="16"/>
              </w:rPr>
              <w:t>Den 7. januar 2014</w:t>
            </w:r>
          </w:p>
          <w:p w:rsidR="006F6C21" w:rsidP="006F6C21" w:rsidRDefault="006F6C21">
            <w:pPr>
              <w:pStyle w:val="datomv"/>
              <w:framePr w:hSpace="0" w:wrap="auto" w:vAnchor="margin" w:xAlign="left" w:yAlign="inline" w:anchorLock="0"/>
              <w:rPr>
                <w:rFonts w:ascii="Arial" w:hAnsi="Arial"/>
                <w:sz w:val="16"/>
              </w:rPr>
            </w:pPr>
            <w:r>
              <w:rPr>
                <w:rFonts w:ascii="Arial" w:hAnsi="Arial"/>
                <w:sz w:val="16"/>
              </w:rPr>
              <w:t xml:space="preserve">Sag nr. </w:t>
            </w:r>
            <w:r>
              <w:rPr>
                <w:rFonts w:ascii="Arial" w:hAnsi="Arial"/>
                <w:noProof/>
                <w:sz w:val="16"/>
              </w:rPr>
              <w:t>13/</w:t>
            </w:r>
            <w:r w:rsidR="0004183D">
              <w:rPr>
                <w:rFonts w:ascii="Arial" w:hAnsi="Arial"/>
                <w:noProof/>
                <w:sz w:val="16"/>
              </w:rPr>
              <w:t>0465</w:t>
            </w:r>
            <w:r w:rsidR="007F118F">
              <w:rPr>
                <w:rFonts w:ascii="Arial" w:hAnsi="Arial"/>
                <w:noProof/>
                <w:sz w:val="16"/>
              </w:rPr>
              <w:t>0</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r>
              <w:rPr>
                <w:sz w:val="16"/>
              </w:rPr>
              <w:t>Tlf.           4171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1"/>
            <w:r>
              <w:rPr>
                <w:rFonts w:ascii="Arial" w:hAnsi="Arial"/>
                <w:sz w:val="16"/>
              </w:rPr>
              <w:t>www.kfst.dk</w:t>
            </w:r>
            <w:bookmarkEnd w:id="1"/>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D54C17">
      <w:pPr>
        <w:jc w:val="center"/>
        <w:rPr>
          <w:b/>
          <w:sz w:val="32"/>
          <w:szCs w:val="32"/>
        </w:rPr>
      </w:pPr>
      <w:r>
        <w:rPr>
          <w:b/>
          <w:sz w:val="32"/>
          <w:szCs w:val="32"/>
        </w:rPr>
        <w:t>Korrigeret a</w:t>
      </w:r>
      <w:r w:rsidRPr="008A7EA7" w:rsidR="008A7EA7">
        <w:rPr>
          <w:b/>
          <w:sz w:val="32"/>
          <w:szCs w:val="32"/>
        </w:rPr>
        <w:t>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P="002335FF" w:rsidRDefault="00294AC3">
      <w:pPr>
        <w:pStyle w:val="Brdtekst"/>
      </w:pPr>
    </w:p>
    <w:p w:rsidRPr="008A7EA7" w:rsidR="008A7EA7" w:rsidP="002335FF" w:rsidRDefault="008A7EA7">
      <w:pPr>
        <w:pStyle w:val="Overskrift1"/>
        <w:jc w:val="both"/>
        <w:rPr>
          <w:sz w:val="28"/>
          <w:szCs w:val="28"/>
        </w:rPr>
      </w:pPr>
      <w:r w:rsidRPr="008A7EA7">
        <w:rPr>
          <w:sz w:val="28"/>
          <w:szCs w:val="28"/>
        </w:rPr>
        <w:t>Afgørelse</w:t>
      </w:r>
    </w:p>
    <w:p w:rsidR="008A7EA7" w:rsidP="002335FF" w:rsidRDefault="008A7EA7">
      <w:pPr>
        <w:pStyle w:val="Brdtekst"/>
      </w:pPr>
    </w:p>
    <w:p w:rsidRPr="008A7EA7" w:rsidR="00375E51" w:rsidP="002335FF" w:rsidRDefault="00375E51">
      <w:pPr>
        <w:jc w:val="both"/>
      </w:pPr>
      <w:r w:rsidRPr="008A7EA7">
        <w:t xml:space="preserve">Forsyningssekretariatet har truffet afgørelse om prisloftet for </w:t>
      </w:r>
      <w:r w:rsidR="0004183D">
        <w:t xml:space="preserve">Glostrup Spildevand A/S </w:t>
      </w:r>
      <w:r>
        <w:t>gældende for 2014</w:t>
      </w:r>
      <w:r w:rsidRPr="008A7EA7">
        <w:t>.</w:t>
      </w:r>
    </w:p>
    <w:p w:rsidRPr="008A7EA7" w:rsidR="00375E51" w:rsidP="002335FF" w:rsidRDefault="00375E51">
      <w:pPr>
        <w:jc w:val="both"/>
      </w:pPr>
    </w:p>
    <w:p w:rsidRPr="000A0791" w:rsidR="00375E51" w:rsidP="002335FF"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F976E3" w:rsidR="00F976E3">
        <w:rPr>
          <w:noProof/>
          <w:szCs w:val="24"/>
        </w:rPr>
        <w:t>26,35</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2335FF" w:rsidRDefault="00375E51">
      <w:pPr>
        <w:jc w:val="both"/>
      </w:pPr>
    </w:p>
    <w:p w:rsidRPr="008A7EA7" w:rsidR="00375E51" w:rsidP="002335FF"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2335FF" w:rsidRDefault="00375E51">
      <w:pPr>
        <w:jc w:val="both"/>
      </w:pPr>
    </w:p>
    <w:p w:rsidRPr="008A7EA7" w:rsidR="00375E51" w:rsidP="002335FF"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564A2A" w:rsidRDefault="0004183D">
      <w:pPr>
        <w:jc w:val="both"/>
      </w:pPr>
      <w:r>
        <w:t>Glostrup Spildevand A/S</w:t>
      </w:r>
      <w:r w:rsidRPr="00BC5FB2" w:rsidR="008A7EA7">
        <w:t xml:space="preserve"> er et kommunalt ejet forsyningsselskab, som har til formål at servicere mindst 10 ejendomme. Selskab</w:t>
      </w:r>
      <w:r w:rsidR="00564A2A">
        <w:t>et er derfor i henhold til vand</w:t>
      </w:r>
      <w:r w:rsidRPr="00BC5FB2" w:rsidR="008A7EA7">
        <w:t>sektorlovens § 2, stk. 1, omf</w:t>
      </w:r>
      <w:r w:rsidR="00E8384D">
        <w:t>attet af prisloftreguleringen.</w:t>
      </w:r>
    </w:p>
    <w:p w:rsidRPr="00BC5FB2" w:rsidR="008A7EA7" w:rsidP="008A7EA7" w:rsidRDefault="008A7EA7">
      <w:pPr>
        <w:jc w:val="both"/>
      </w:pPr>
    </w:p>
    <w:p w:rsidR="008A7EA7" w:rsidP="008A7EA7"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00BF52E6">
        <w:t>2</w:t>
      </w:r>
      <w:r w:rsidR="001D4087">
        <w:t>3</w:t>
      </w:r>
      <w:r w:rsidR="00E00FE2">
        <w:t>. august</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DF26F5" w:rsidP="00DF26F5" w:rsidRDefault="00DF26F5">
      <w:pPr>
        <w:jc w:val="both"/>
      </w:pPr>
      <w:r w:rsidRPr="00641789">
        <w:t>Selskabet har afgivet høringssvar inden</w:t>
      </w:r>
      <w:r>
        <w:t xml:space="preserve"> </w:t>
      </w:r>
      <w:r w:rsidRPr="00641789">
        <w:t>for fristen. I det omfang Fors</w:t>
      </w:r>
      <w:r w:rsidRPr="00641789">
        <w:t>y</w:t>
      </w:r>
      <w:r w:rsidRPr="00641789">
        <w:t>ningssekretariatet ikke umiddelbart har taget selskabets bemærkninger til efterretning i afgørelsen, fremgår dette under de enkelte afsnit i begru</w:t>
      </w:r>
      <w:r w:rsidRPr="00641789">
        <w:t>n</w:t>
      </w:r>
      <w:r w:rsidRPr="00641789">
        <w:t xml:space="preserve">delsen.                                                 </w:t>
      </w:r>
    </w:p>
    <w:p w:rsidR="00DF26F5" w:rsidP="00DF26F5" w:rsidRDefault="00DF26F5">
      <w:pPr>
        <w:jc w:val="both"/>
      </w:pPr>
    </w:p>
    <w:p w:rsidR="00DF26F5" w:rsidP="00DF26F5" w:rsidRDefault="00DF26F5">
      <w:pPr>
        <w:jc w:val="both"/>
      </w:pPr>
      <w:r w:rsidRPr="00641789">
        <w:t>Eventuelle andre ændringer er alene af sproglig/grammatisk karakter e</w:t>
      </w:r>
      <w:r w:rsidRPr="00641789">
        <w:t>l</w:t>
      </w:r>
      <w:r w:rsidRPr="00641789">
        <w:t>ler uddybende i forhold til det allerede angivne.</w:t>
      </w:r>
    </w:p>
    <w:p w:rsidR="008A7EA7" w:rsidRDefault="008A7EA7">
      <w:pPr>
        <w:pStyle w:val="Brdtekst"/>
      </w:pPr>
    </w:p>
    <w:p w:rsidRPr="000E11C4" w:rsidR="00D54C17" w:rsidP="00D54C17" w:rsidRDefault="00D54C17">
      <w:pPr>
        <w:pStyle w:val="Brdtekst"/>
      </w:pPr>
      <w:r>
        <w:t>Selskabet modtog den 13. september 2013 afgørelse om prisloftet for 2014. Selskabet er efterfølgende blevet kontaktet af Forsyningssekretar</w:t>
      </w:r>
      <w:r>
        <w:t>i</w:t>
      </w:r>
      <w:r>
        <w:t>atet, som har anmodet selskabet om at indberette nye oplysninger til se</w:t>
      </w:r>
      <w:r>
        <w:t>l</w:t>
      </w:r>
      <w:r>
        <w:t xml:space="preserve">skabets tæthedskorrektion. På baggrund af disse nye oplysninger har Forsyningssekretariatet udarbejdet nærværende korrigerede afgørelse om prisloftet for 2014. </w:t>
      </w:r>
    </w:p>
    <w:p w:rsidR="00EA41B5" w:rsidRDefault="00EA41B5">
      <w:pPr>
        <w:pStyle w:val="Brdtekst"/>
      </w:pPr>
    </w:p>
    <w:p w:rsidR="00C03D78" w:rsidP="00C03D78" w:rsidRDefault="00C03D78">
      <w:pPr>
        <w:spacing w:after="200"/>
        <w:jc w:val="both"/>
        <w:rPr>
          <w:b/>
          <w:bCs/>
          <w:szCs w:val="24"/>
        </w:rPr>
      </w:pPr>
      <w:r>
        <w:rPr>
          <w:szCs w:val="24"/>
        </w:rPr>
        <w:t xml:space="preserve">Forsyningssekretariatet har fremsendt </w:t>
      </w:r>
      <w:r w:rsidRPr="00C03D78">
        <w:rPr>
          <w:szCs w:val="24"/>
        </w:rPr>
        <w:t>ny</w:t>
      </w:r>
      <w:r>
        <w:rPr>
          <w:szCs w:val="24"/>
        </w:rPr>
        <w:t xml:space="preserve"> korrigeret afgørelse om selsk</w:t>
      </w:r>
      <w:r>
        <w:rPr>
          <w:szCs w:val="24"/>
        </w:rPr>
        <w:t>a</w:t>
      </w:r>
      <w:r>
        <w:rPr>
          <w:szCs w:val="24"/>
        </w:rPr>
        <w:t>bets prisloft for 2014 den 7. januar 2014. Korrektionen skyldes, at Fo</w:t>
      </w:r>
      <w:r>
        <w:rPr>
          <w:szCs w:val="24"/>
        </w:rPr>
        <w:t>r</w:t>
      </w:r>
      <w:r>
        <w:rPr>
          <w:szCs w:val="24"/>
        </w:rPr>
        <w:t>syningssekretariatet er blevet opmærksom på en mindre regnefejl i det alderskorrigerede og tæthedskorrigerede netvolumenmål i prislofterne for 2014 for de selskaber, som har fået godkendt særlige forhold. Ved at rette op på regnefejlen, har disse selskaber fået beregnet højere korrig</w:t>
      </w:r>
      <w:r>
        <w:rPr>
          <w:szCs w:val="24"/>
        </w:rPr>
        <w:t>e</w:t>
      </w:r>
      <w:r>
        <w:rPr>
          <w:szCs w:val="24"/>
        </w:rPr>
        <w:t>rede netvolumenmål. Den korrigerede afgørelse er således begunstigende for selskabet. Der henvises til afsnittet ”Korrektion for individuelt effe</w:t>
      </w:r>
      <w:r>
        <w:rPr>
          <w:szCs w:val="24"/>
        </w:rPr>
        <w:t>k</w:t>
      </w:r>
      <w:r>
        <w:rPr>
          <w:szCs w:val="24"/>
        </w:rPr>
        <w:t>tiviseringskrav” nedenfor.</w:t>
      </w:r>
      <w:r>
        <w:rPr>
          <w:b/>
          <w:bCs/>
          <w:szCs w:val="24"/>
        </w:rPr>
        <w:t xml:space="preserve"> </w:t>
      </w:r>
    </w:p>
    <w:p w:rsidR="00C03D78" w:rsidRDefault="00C03D78">
      <w:pPr>
        <w:pStyle w:val="Brdtekst"/>
      </w:pP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59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8"/>
        <w:gridCol w:w="1263"/>
        <w:gridCol w:w="427"/>
        <w:gridCol w:w="1204"/>
        <w:gridCol w:w="417"/>
        <w:gridCol w:w="9"/>
      </w:tblGrid>
      <w:tr w:rsidRPr="00CB387F" w:rsidR="00375E51"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Korrigerede driftsomkostninger i prisloftet for 2013</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KorrDrift \h  \* MERGEFORMAT </w:instrText>
            </w:r>
            <w:r w:rsidRPr="00564A2A">
              <w:rPr>
                <w:sz w:val="20"/>
              </w:rPr>
            </w:r>
            <w:r w:rsidRPr="00564A2A">
              <w:rPr>
                <w:sz w:val="20"/>
              </w:rPr>
              <w:fldChar w:fldCharType="separate"/>
            </w:r>
            <w:r w:rsidRPr="009B25D7" w:rsidR="00F976E3">
              <w:rPr>
                <w:sz w:val="20"/>
              </w:rPr>
              <w:t>7.707.8</w:t>
            </w:r>
            <w:r w:rsidR="00F976E3">
              <w:rPr>
                <w:sz w:val="20"/>
              </w:rPr>
              <w:t>65</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val="restart"/>
            <w:tcBorders>
              <w:top w:val="single" w:color="auto" w:sz="4" w:space="0"/>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Bortfald af væsentlige omkostninger</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45CE3">
            <w:pPr>
              <w:jc w:val="right"/>
              <w:rPr>
                <w:sz w:val="20"/>
              </w:rPr>
            </w:pPr>
            <w:r w:rsidRPr="00564A2A">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color w:val="FF0000"/>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Korrektion for prisudvikling</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PrisUdv \h  \* MERGEFORMAT </w:instrText>
            </w:r>
            <w:r w:rsidRPr="00564A2A">
              <w:rPr>
                <w:sz w:val="20"/>
              </w:rPr>
            </w:r>
            <w:r w:rsidRPr="00564A2A">
              <w:rPr>
                <w:sz w:val="20"/>
              </w:rPr>
              <w:fldChar w:fldCharType="separate"/>
            </w:r>
            <w:r w:rsidRPr="00F976E3" w:rsidR="00F976E3">
              <w:rPr>
                <w:sz w:val="20"/>
              </w:rPr>
              <w:t>115.618</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Korrektion for generelt effektiviseringskrav</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t>0</w:t>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Korrektion for individuelt effektiviseringskrav</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t>-</w:t>
            </w:r>
            <w:r w:rsidRPr="00564A2A">
              <w:rPr>
                <w:sz w:val="20"/>
              </w:rPr>
              <w:fldChar w:fldCharType="begin"/>
            </w:r>
            <w:r w:rsidRPr="00564A2A">
              <w:rPr>
                <w:sz w:val="20"/>
              </w:rPr>
              <w:instrText xml:space="preserve"> REF IndiKrav \h  \* MERGEFORMAT </w:instrText>
            </w:r>
            <w:r w:rsidRPr="00564A2A">
              <w:rPr>
                <w:sz w:val="20"/>
              </w:rPr>
            </w:r>
            <w:r w:rsidRPr="00564A2A">
              <w:rPr>
                <w:sz w:val="20"/>
              </w:rPr>
              <w:fldChar w:fldCharType="separate"/>
            </w:r>
            <w:r w:rsidRPr="00F976E3" w:rsidR="00F976E3">
              <w:rPr>
                <w:sz w:val="20"/>
              </w:rPr>
              <w:t>341.280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bottom w:val="single" w:color="auto" w:sz="4" w:space="0"/>
              <w:right w:val="single" w:color="auto" w:sz="4" w:space="0"/>
            </w:tcBorders>
            <w:shd w:val="clear" w:color="auto" w:fill="auto"/>
          </w:tcPr>
          <w:p w:rsidRPr="00564A2A" w:rsidR="00375E51" w:rsidP="00455CE1" w:rsidRDefault="00375E51">
            <w:pPr>
              <w:jc w:val="right"/>
              <w:rPr>
                <w:sz w:val="20"/>
              </w:rPr>
            </w:pPr>
          </w:p>
        </w:tc>
      </w:tr>
      <w:tr w:rsidRPr="00564A2A" w:rsidR="00375E51"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564A2A" w:rsidR="00375E51" w:rsidP="00455CE1" w:rsidRDefault="00375E51">
            <w:pPr>
              <w:rPr>
                <w:sz w:val="20"/>
              </w:rPr>
            </w:pPr>
            <w:r w:rsidRPr="00564A2A">
              <w:rPr>
                <w:sz w:val="20"/>
              </w:rPr>
              <w:t>Driftsomkostninger i alt</w:t>
            </w:r>
          </w:p>
        </w:tc>
        <w:bookmarkStart w:name="DriftIalt" w:id="2"/>
        <w:tc>
          <w:tcPr>
            <w:tcW w:w="727" w:type="pct"/>
            <w:tcBorders>
              <w:top w:val="single" w:color="auto" w:sz="4" w:space="0"/>
              <w:left w:val="single" w:color="auto" w:sz="4" w:space="0"/>
              <w:bottom w:val="single" w:color="auto" w:sz="4" w:space="0"/>
              <w:right w:val="nil"/>
            </w:tcBorders>
            <w:shd w:val="pct12"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=SUM(ABOVE) </w:instrText>
            </w:r>
            <w:r w:rsidRPr="00564A2A">
              <w:rPr>
                <w:sz w:val="20"/>
              </w:rPr>
              <w:fldChar w:fldCharType="separate"/>
            </w:r>
            <w:r w:rsidR="0014125F">
              <w:rPr>
                <w:noProof/>
                <w:sz w:val="20"/>
              </w:rPr>
              <w:t>7.482.203</w:t>
            </w:r>
            <w:r w:rsidRPr="00564A2A">
              <w:rPr>
                <w:sz w:val="20"/>
              </w:rPr>
              <w:fldChar w:fldCharType="end"/>
            </w:r>
            <w:bookmarkEnd w:id="2"/>
          </w:p>
        </w:tc>
        <w:tc>
          <w:tcPr>
            <w:tcW w:w="246" w:type="pct"/>
            <w:tcBorders>
              <w:top w:val="single" w:color="auto" w:sz="4" w:space="0"/>
              <w:left w:val="nil"/>
              <w:bottom w:val="single" w:color="auto" w:sz="4" w:space="0"/>
              <w:right w:val="single" w:color="auto" w:sz="4" w:space="0"/>
            </w:tcBorders>
            <w:shd w:val="pct12" w:color="auto" w:fill="auto"/>
          </w:tcPr>
          <w:p w:rsidRPr="00564A2A" w:rsidR="00375E51" w:rsidP="00455CE1" w:rsidRDefault="00375E51">
            <w:pPr>
              <w:rPr>
                <w:sz w:val="18"/>
                <w:szCs w:val="18"/>
              </w:rPr>
            </w:pPr>
            <w:r w:rsidRPr="00564A2A">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DriftIalt \h </w:instrText>
            </w:r>
            <w:r w:rsidRPr="00564A2A">
              <w:rPr>
                <w:sz w:val="20"/>
              </w:rPr>
            </w:r>
            <w:r w:rsidRPr="00564A2A">
              <w:rPr>
                <w:sz w:val="20"/>
              </w:rPr>
              <w:fldChar w:fldCharType="separate"/>
            </w:r>
            <w:r w:rsidR="00F976E3">
              <w:rPr>
                <w:noProof/>
                <w:sz w:val="20"/>
              </w:rPr>
              <w:t>7.482.203</w:t>
            </w:r>
            <w:r w:rsidRPr="00564A2A">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564A2A" w:rsidR="00375E51" w:rsidP="00455CE1" w:rsidRDefault="00375E51">
            <w:pPr>
              <w:rPr>
                <w:sz w:val="18"/>
                <w:szCs w:val="18"/>
              </w:rPr>
            </w:pPr>
            <w:r w:rsidRPr="00564A2A">
              <w:rPr>
                <w:sz w:val="18"/>
                <w:szCs w:val="18"/>
              </w:rPr>
              <w:t>kr.</w:t>
            </w:r>
          </w:p>
        </w:tc>
      </w:tr>
      <w:tr w:rsidRPr="00564A2A" w:rsidR="00375E51"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rPr>
                <w:b/>
                <w:sz w:val="20"/>
              </w:rPr>
            </w:pPr>
            <w:r w:rsidRPr="00564A2A">
              <w:rPr>
                <w:b/>
                <w:sz w:val="20"/>
              </w:rPr>
              <w:t>Investeringer</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for historiske investeringer</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HistInv \h  \* MERGEFORMAT </w:instrText>
            </w:r>
            <w:r w:rsidRPr="00564A2A">
              <w:rPr>
                <w:sz w:val="20"/>
              </w:rPr>
            </w:r>
            <w:r w:rsidRPr="00564A2A">
              <w:rPr>
                <w:sz w:val="20"/>
              </w:rPr>
              <w:fldChar w:fldCharType="separate"/>
            </w:r>
            <w:r w:rsidRPr="00F976E3" w:rsidR="00F976E3">
              <w:rPr>
                <w:sz w:val="20"/>
              </w:rPr>
              <w:t>9.384.662</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val="restart"/>
            <w:tcBorders>
              <w:top w:val="single" w:color="auto" w:sz="4" w:space="0"/>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for gennemførte investe</w:t>
            </w:r>
            <w:r w:rsidRPr="00564A2A" w:rsidR="00D625F3">
              <w:rPr>
                <w:sz w:val="20"/>
              </w:rPr>
              <w:t>ringer i 2010</w:t>
            </w:r>
            <w:r w:rsidRPr="00564A2A">
              <w:rPr>
                <w:sz w:val="20"/>
              </w:rPr>
              <w:t>-2012</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GenfInv \h  \* MERGEFORMAT </w:instrText>
            </w:r>
            <w:r w:rsidRPr="00564A2A">
              <w:rPr>
                <w:sz w:val="20"/>
              </w:rPr>
            </w:r>
            <w:r w:rsidRPr="00564A2A">
              <w:rPr>
                <w:sz w:val="20"/>
              </w:rPr>
              <w:fldChar w:fldCharType="separate"/>
            </w:r>
            <w:r w:rsidRPr="00F976E3" w:rsidR="00F976E3">
              <w:rPr>
                <w:sz w:val="20"/>
              </w:rPr>
              <w:t>680.117</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 xml:space="preserve">Korrektion af tillæg for planlagte investeringer vedrørende 2012  </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KorrInv \h  \* MERGEFORMAT </w:instrText>
            </w:r>
            <w:r w:rsidRPr="00564A2A">
              <w:rPr>
                <w:sz w:val="20"/>
              </w:rPr>
            </w:r>
            <w:r w:rsidRPr="00564A2A">
              <w:rPr>
                <w:sz w:val="20"/>
              </w:rPr>
              <w:fldChar w:fldCharType="separate"/>
            </w:r>
            <w:r w:rsidRPr="00F976E3" w:rsidR="00F976E3">
              <w:rPr>
                <w:sz w:val="20"/>
              </w:rPr>
              <w:t>198.672</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for planlagte investeringer i 2013 og 2014</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PlanInv \h  \* MERGEFORMAT </w:instrText>
            </w:r>
            <w:r w:rsidRPr="00564A2A">
              <w:rPr>
                <w:sz w:val="20"/>
              </w:rPr>
            </w:r>
            <w:r w:rsidRPr="00564A2A">
              <w:rPr>
                <w:sz w:val="20"/>
              </w:rPr>
              <w:fldChar w:fldCharType="separate"/>
            </w:r>
            <w:r w:rsidRPr="00F976E3" w:rsidR="00F976E3">
              <w:rPr>
                <w:sz w:val="20"/>
              </w:rPr>
              <w:t>560.768</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bottom w:val="single" w:color="auto" w:sz="4" w:space="0"/>
              <w:right w:val="single" w:color="auto" w:sz="4" w:space="0"/>
            </w:tcBorders>
            <w:shd w:val="clear" w:color="auto" w:fill="auto"/>
          </w:tcPr>
          <w:p w:rsidRPr="00564A2A" w:rsidR="00375E51" w:rsidP="00455CE1" w:rsidRDefault="00375E51">
            <w:pPr>
              <w:jc w:val="right"/>
              <w:rPr>
                <w:sz w:val="20"/>
              </w:rPr>
            </w:pPr>
          </w:p>
        </w:tc>
      </w:tr>
      <w:tr w:rsidRPr="00564A2A" w:rsidR="00375E51"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564A2A" w:rsidR="00375E51" w:rsidP="00455CE1" w:rsidRDefault="00375E51">
            <w:pPr>
              <w:rPr>
                <w:sz w:val="20"/>
              </w:rPr>
            </w:pPr>
            <w:r w:rsidRPr="00564A2A">
              <w:rPr>
                <w:sz w:val="20"/>
              </w:rPr>
              <w:t>Investeringstillæg i alt*</w:t>
            </w:r>
          </w:p>
        </w:tc>
        <w:bookmarkStart w:name="InvIalt" w:id="3"/>
        <w:tc>
          <w:tcPr>
            <w:tcW w:w="727" w:type="pct"/>
            <w:tcBorders>
              <w:top w:val="single" w:color="auto" w:sz="4" w:space="0"/>
              <w:left w:val="single" w:color="auto" w:sz="4" w:space="0"/>
              <w:bottom w:val="single" w:color="auto" w:sz="4" w:space="0"/>
              <w:right w:val="nil"/>
            </w:tcBorders>
            <w:shd w:val="pct12"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=SUM(ABOVE) </w:instrText>
            </w:r>
            <w:r w:rsidRPr="00564A2A">
              <w:rPr>
                <w:sz w:val="20"/>
              </w:rPr>
              <w:fldChar w:fldCharType="separate"/>
            </w:r>
            <w:r w:rsidR="0014125F">
              <w:rPr>
                <w:noProof/>
                <w:sz w:val="20"/>
              </w:rPr>
              <w:t>10.824.219</w:t>
            </w:r>
            <w:r w:rsidRPr="00564A2A">
              <w:rPr>
                <w:sz w:val="20"/>
              </w:rPr>
              <w:fldChar w:fldCharType="end"/>
            </w:r>
            <w:bookmarkEnd w:id="3"/>
          </w:p>
        </w:tc>
        <w:tc>
          <w:tcPr>
            <w:tcW w:w="246" w:type="pct"/>
            <w:tcBorders>
              <w:top w:val="single" w:color="auto" w:sz="4" w:space="0"/>
              <w:left w:val="nil"/>
              <w:bottom w:val="single" w:color="auto" w:sz="4" w:space="0"/>
              <w:right w:val="single" w:color="auto" w:sz="4" w:space="0"/>
            </w:tcBorders>
            <w:shd w:val="pct12" w:color="auto" w:fill="auto"/>
          </w:tcPr>
          <w:p w:rsidRPr="00564A2A" w:rsidR="00375E51" w:rsidP="00455CE1" w:rsidRDefault="00375E51">
            <w:pPr>
              <w:rPr>
                <w:sz w:val="18"/>
                <w:szCs w:val="18"/>
              </w:rPr>
            </w:pPr>
            <w:r w:rsidRPr="00564A2A">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InvIalt \h </w:instrText>
            </w:r>
            <w:r w:rsidRPr="00564A2A">
              <w:rPr>
                <w:sz w:val="20"/>
              </w:rPr>
            </w:r>
            <w:r w:rsidRPr="00564A2A">
              <w:rPr>
                <w:sz w:val="20"/>
              </w:rPr>
              <w:fldChar w:fldCharType="separate"/>
            </w:r>
            <w:r w:rsidR="00F976E3">
              <w:rPr>
                <w:noProof/>
                <w:sz w:val="20"/>
              </w:rPr>
              <w:t>10.824.219</w:t>
            </w:r>
            <w:r w:rsidRPr="00564A2A">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564A2A" w:rsidR="00375E51" w:rsidP="00455CE1" w:rsidRDefault="00375E51">
            <w:pPr>
              <w:rPr>
                <w:sz w:val="18"/>
                <w:szCs w:val="18"/>
              </w:rPr>
            </w:pPr>
            <w:r w:rsidRPr="00564A2A">
              <w:rPr>
                <w:sz w:val="18"/>
                <w:szCs w:val="18"/>
              </w:rPr>
              <w:t>kr.</w:t>
            </w:r>
          </w:p>
        </w:tc>
      </w:tr>
      <w:tr w:rsidRPr="00564A2A" w:rsidR="00375E51"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rPr>
                <w:b/>
                <w:sz w:val="20"/>
              </w:rPr>
            </w:pPr>
            <w:r w:rsidRPr="00564A2A">
              <w:rPr>
                <w:b/>
                <w:sz w:val="20"/>
              </w:rPr>
              <w:t>Øvrige omkostninger mv.</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564A2A" w:rsidR="00375E51" w:rsidP="00455CE1" w:rsidRDefault="00375E51">
            <w:pPr>
              <w:jc w:val="center"/>
              <w:rPr>
                <w:b/>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for 1:1 omkostninger i 2014</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EnTilEnOmk \h  \* MERGEFORMAT </w:instrText>
            </w:r>
            <w:r w:rsidRPr="00564A2A">
              <w:rPr>
                <w:sz w:val="20"/>
              </w:rPr>
            </w:r>
            <w:r w:rsidRPr="00564A2A">
              <w:rPr>
                <w:sz w:val="20"/>
              </w:rPr>
              <w:fldChar w:fldCharType="separate"/>
            </w:r>
            <w:r w:rsidRPr="00F976E3" w:rsidR="00F976E3">
              <w:rPr>
                <w:sz w:val="20"/>
              </w:rPr>
              <w:t>11.638.000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val="restart"/>
            <w:tcBorders>
              <w:top w:val="single" w:color="auto" w:sz="4" w:space="0"/>
              <w:left w:val="nil"/>
              <w:right w:val="single" w:color="auto" w:sz="4" w:space="0"/>
            </w:tcBorders>
            <w:shd w:val="clear" w:color="auto" w:fill="auto"/>
          </w:tcPr>
          <w:p w:rsidRPr="00564A2A" w:rsidR="00375E51" w:rsidP="00455CE1" w:rsidRDefault="00375E51">
            <w:pPr>
              <w:rPr>
                <w:sz w:val="18"/>
                <w:szCs w:val="18"/>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vedr. revisorerklæringer og DANVA/FVD-kontingent</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RevDanvaFvd \h  \* MERGEFORMAT </w:instrText>
            </w:r>
            <w:r w:rsidRPr="00564A2A">
              <w:rPr>
                <w:sz w:val="20"/>
              </w:rPr>
            </w:r>
            <w:r w:rsidRPr="00564A2A">
              <w:rPr>
                <w:sz w:val="20"/>
              </w:rPr>
              <w:fldChar w:fldCharType="separate"/>
            </w:r>
            <w:r w:rsidRPr="00F976E3" w:rsidR="00F976E3">
              <w:rPr>
                <w:sz w:val="20"/>
              </w:rPr>
              <w:t>86.500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Korrektion ift. faktiske 1:1 omkostninger i 2012</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KorrEnTilEn \h  \* MERGEFORMAT </w:instrText>
            </w:r>
            <w:r w:rsidRPr="00564A2A">
              <w:rPr>
                <w:sz w:val="20"/>
              </w:rPr>
            </w:r>
            <w:r w:rsidRPr="00564A2A">
              <w:rPr>
                <w:sz w:val="20"/>
              </w:rPr>
              <w:fldChar w:fldCharType="separate"/>
            </w:r>
            <w:r w:rsidRPr="00F976E3" w:rsidR="00F976E3">
              <w:rPr>
                <w:sz w:val="20"/>
              </w:rPr>
              <w:t>-677.439</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375E51"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375E51" w:rsidP="00455CE1" w:rsidRDefault="00375E51">
            <w:pPr>
              <w:rPr>
                <w:sz w:val="20"/>
              </w:rPr>
            </w:pPr>
            <w:r w:rsidRPr="00564A2A">
              <w:rPr>
                <w:sz w:val="20"/>
              </w:rPr>
              <w:t>Tillæg for driftsomkostninger til miljø- og servicemål i 2014</w:t>
            </w:r>
          </w:p>
        </w:tc>
        <w:tc>
          <w:tcPr>
            <w:tcW w:w="727" w:type="pct"/>
            <w:tcBorders>
              <w:top w:val="single" w:color="auto" w:sz="4" w:space="0"/>
              <w:left w:val="single" w:color="auto" w:sz="4" w:space="0"/>
              <w:bottom w:val="single" w:color="auto" w:sz="4" w:space="0"/>
              <w:right w:val="nil"/>
            </w:tcBorders>
            <w:shd w:val="clear" w:color="auto" w:fill="auto"/>
          </w:tcPr>
          <w:p w:rsidRPr="00564A2A" w:rsidR="00375E51" w:rsidP="00455CE1" w:rsidRDefault="00455CE1">
            <w:pPr>
              <w:jc w:val="right"/>
              <w:rPr>
                <w:sz w:val="20"/>
              </w:rPr>
            </w:pPr>
            <w:r w:rsidRPr="00564A2A">
              <w:rPr>
                <w:sz w:val="20"/>
              </w:rPr>
              <w:fldChar w:fldCharType="begin"/>
            </w:r>
            <w:r w:rsidRPr="00564A2A">
              <w:rPr>
                <w:sz w:val="20"/>
              </w:rPr>
              <w:instrText xml:space="preserve"> REF Mogs \h  \* MERGEFORMAT </w:instrText>
            </w:r>
            <w:r w:rsidRPr="00564A2A">
              <w:rPr>
                <w:sz w:val="20"/>
              </w:rPr>
            </w:r>
            <w:r w:rsidRPr="00564A2A">
              <w:rPr>
                <w:sz w:val="20"/>
              </w:rPr>
              <w:fldChar w:fldCharType="separate"/>
            </w:r>
            <w:r w:rsidRPr="00F976E3" w:rsidR="00F976E3">
              <w:rPr>
                <w:sz w:val="20"/>
              </w:rPr>
              <w:t>1.750.000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375E51" w:rsidP="00455CE1" w:rsidRDefault="00375E51">
            <w:r w:rsidRPr="00564A2A">
              <w:rPr>
                <w:sz w:val="18"/>
                <w:szCs w:val="18"/>
              </w:rPr>
              <w:t>kr.</w:t>
            </w:r>
          </w:p>
        </w:tc>
        <w:tc>
          <w:tcPr>
            <w:tcW w:w="939" w:type="pct"/>
            <w:gridSpan w:val="3"/>
            <w:vMerge/>
            <w:tcBorders>
              <w:left w:val="nil"/>
              <w:right w:val="single" w:color="auto" w:sz="4" w:space="0"/>
            </w:tcBorders>
            <w:shd w:val="clear" w:color="auto" w:fill="auto"/>
          </w:tcPr>
          <w:p w:rsidRPr="00564A2A" w:rsidR="00375E51" w:rsidP="00455CE1" w:rsidRDefault="00375E51">
            <w:pPr>
              <w:jc w:val="right"/>
              <w:rPr>
                <w:sz w:val="20"/>
              </w:rPr>
            </w:pPr>
          </w:p>
        </w:tc>
      </w:tr>
      <w:tr w:rsidRPr="00CB387F" w:rsidR="00D95804"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D95804" w:rsidP="00455CE1" w:rsidRDefault="00D95804">
            <w:pPr>
              <w:rPr>
                <w:sz w:val="20"/>
              </w:rPr>
            </w:pPr>
            <w:r w:rsidRPr="00564A2A">
              <w:rPr>
                <w:sz w:val="20"/>
              </w:rPr>
              <w:t>Tillæg for omkostninger til medfinansiering af klimatilpa</w:t>
            </w:r>
            <w:r w:rsidRPr="00564A2A">
              <w:rPr>
                <w:sz w:val="20"/>
              </w:rPr>
              <w:t>s</w:t>
            </w:r>
            <w:r w:rsidRPr="00564A2A">
              <w:rPr>
                <w:sz w:val="20"/>
              </w:rPr>
              <w:t>ningsprojekter</w:t>
            </w:r>
          </w:p>
        </w:tc>
        <w:tc>
          <w:tcPr>
            <w:tcW w:w="727" w:type="pct"/>
            <w:tcBorders>
              <w:top w:val="single" w:color="auto" w:sz="4" w:space="0"/>
              <w:left w:val="single" w:color="auto" w:sz="4" w:space="0"/>
              <w:bottom w:val="single" w:color="auto" w:sz="4" w:space="0"/>
              <w:right w:val="nil"/>
            </w:tcBorders>
            <w:shd w:val="clear"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REF klimaMogs \h  \* MERGEFORMAT </w:instrText>
            </w:r>
            <w:r w:rsidRPr="00564A2A">
              <w:rPr>
                <w:sz w:val="20"/>
              </w:rPr>
            </w:r>
            <w:r w:rsidRPr="00564A2A">
              <w:rPr>
                <w:sz w:val="20"/>
              </w:rPr>
              <w:fldChar w:fldCharType="separate"/>
            </w:r>
            <w:r w:rsidRPr="00F976E3" w:rsidR="00F976E3">
              <w:rPr>
                <w:sz w:val="20"/>
              </w:rPr>
              <w:t>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D95804" w:rsidP="006E26AE" w:rsidRDefault="00D95804">
            <w:r w:rsidRPr="00564A2A">
              <w:rPr>
                <w:sz w:val="18"/>
                <w:szCs w:val="18"/>
              </w:rPr>
              <w:t>kr.</w:t>
            </w:r>
          </w:p>
        </w:tc>
        <w:tc>
          <w:tcPr>
            <w:tcW w:w="939" w:type="pct"/>
            <w:gridSpan w:val="3"/>
            <w:vMerge/>
            <w:tcBorders>
              <w:left w:val="nil"/>
              <w:right w:val="single" w:color="auto" w:sz="4" w:space="0"/>
            </w:tcBorders>
            <w:shd w:val="clear" w:color="auto" w:fill="auto"/>
          </w:tcPr>
          <w:p w:rsidRPr="00564A2A" w:rsidR="00D95804" w:rsidP="00455CE1" w:rsidRDefault="00D95804">
            <w:pPr>
              <w:jc w:val="right"/>
              <w:rPr>
                <w:sz w:val="20"/>
              </w:rPr>
            </w:pPr>
          </w:p>
        </w:tc>
      </w:tr>
      <w:tr w:rsidRPr="00CB387F" w:rsidR="00D95804"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D95804" w:rsidP="00455CE1" w:rsidRDefault="00D95804">
            <w:pPr>
              <w:rPr>
                <w:sz w:val="20"/>
              </w:rPr>
            </w:pPr>
            <w:r w:rsidRPr="00564A2A">
              <w:rPr>
                <w:sz w:val="20"/>
              </w:rPr>
              <w:t>Korrektion ift. faktiske driftsomk. til miljø- og servicemål 2012</w:t>
            </w:r>
          </w:p>
        </w:tc>
        <w:tc>
          <w:tcPr>
            <w:tcW w:w="727" w:type="pct"/>
            <w:tcBorders>
              <w:top w:val="single" w:color="auto" w:sz="4" w:space="0"/>
              <w:left w:val="single" w:color="auto" w:sz="4" w:space="0"/>
              <w:bottom w:val="single" w:color="auto" w:sz="4" w:space="0"/>
              <w:right w:val="nil"/>
            </w:tcBorders>
            <w:shd w:val="clear" w:color="auto" w:fill="auto"/>
          </w:tcPr>
          <w:p w:rsidRPr="00564A2A" w:rsidR="00D95804" w:rsidP="00455CE1" w:rsidRDefault="00DF1B2E">
            <w:pPr>
              <w:jc w:val="right"/>
              <w:rPr>
                <w:sz w:val="20"/>
              </w:rPr>
            </w:pPr>
            <w:r w:rsidRPr="00564A2A">
              <w:rPr>
                <w:sz w:val="20"/>
              </w:rPr>
              <w:t>-</w:t>
            </w:r>
            <w:r w:rsidRPr="00564A2A" w:rsidR="00D95804">
              <w:rPr>
                <w:sz w:val="20"/>
              </w:rPr>
              <w:fldChar w:fldCharType="begin"/>
            </w:r>
            <w:r w:rsidRPr="00564A2A" w:rsidR="00D95804">
              <w:rPr>
                <w:sz w:val="20"/>
              </w:rPr>
              <w:instrText xml:space="preserve"> REF KorrMogs \h  \* MERGEFORMAT </w:instrText>
            </w:r>
            <w:r w:rsidRPr="00564A2A" w:rsidR="00D95804">
              <w:rPr>
                <w:sz w:val="20"/>
              </w:rPr>
            </w:r>
            <w:r w:rsidRPr="00564A2A" w:rsidR="00D95804">
              <w:rPr>
                <w:sz w:val="20"/>
              </w:rPr>
              <w:fldChar w:fldCharType="separate"/>
            </w:r>
            <w:r w:rsidRPr="00F976E3" w:rsidR="00F976E3">
              <w:rPr>
                <w:sz w:val="20"/>
              </w:rPr>
              <w:t>449.386</w:t>
            </w:r>
            <w:r w:rsidRPr="00564A2A" w:rsidR="00D95804">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D95804" w:rsidP="00455CE1" w:rsidRDefault="00D95804">
            <w:r w:rsidRPr="00564A2A">
              <w:rPr>
                <w:sz w:val="18"/>
                <w:szCs w:val="18"/>
              </w:rPr>
              <w:t>kr.</w:t>
            </w:r>
          </w:p>
        </w:tc>
        <w:tc>
          <w:tcPr>
            <w:tcW w:w="939" w:type="pct"/>
            <w:gridSpan w:val="3"/>
            <w:vMerge/>
            <w:tcBorders>
              <w:left w:val="nil"/>
              <w:right w:val="single" w:color="auto" w:sz="4" w:space="0"/>
            </w:tcBorders>
            <w:shd w:val="clear" w:color="auto" w:fill="auto"/>
          </w:tcPr>
          <w:p w:rsidRPr="00564A2A" w:rsidR="00D95804" w:rsidP="00455CE1" w:rsidRDefault="00D95804">
            <w:pPr>
              <w:jc w:val="right"/>
              <w:rPr>
                <w:sz w:val="20"/>
              </w:rPr>
            </w:pPr>
          </w:p>
        </w:tc>
      </w:tr>
      <w:tr w:rsidRPr="00CB387F" w:rsidR="00D95804"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D95804" w:rsidP="00455CE1" w:rsidRDefault="00D95804">
            <w:pPr>
              <w:rPr>
                <w:sz w:val="20"/>
              </w:rPr>
            </w:pPr>
            <w:r w:rsidRPr="00564A2A">
              <w:rPr>
                <w:sz w:val="20"/>
              </w:rPr>
              <w:t>Tillæg/fradrag for nettofinansielle poster i 2014</w:t>
            </w:r>
          </w:p>
        </w:tc>
        <w:tc>
          <w:tcPr>
            <w:tcW w:w="727" w:type="pct"/>
            <w:tcBorders>
              <w:top w:val="single" w:color="auto" w:sz="4" w:space="0"/>
              <w:left w:val="single" w:color="auto" w:sz="4" w:space="0"/>
              <w:bottom w:val="single" w:color="auto" w:sz="4" w:space="0"/>
              <w:right w:val="nil"/>
            </w:tcBorders>
            <w:shd w:val="clear"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REF NetFin \h  \* MERGEFORMAT </w:instrText>
            </w:r>
            <w:r w:rsidRPr="00564A2A">
              <w:rPr>
                <w:sz w:val="20"/>
              </w:rPr>
            </w:r>
            <w:r w:rsidRPr="00564A2A">
              <w:rPr>
                <w:sz w:val="20"/>
              </w:rPr>
              <w:fldChar w:fldCharType="separate"/>
            </w:r>
            <w:r w:rsidRPr="00F976E3" w:rsidR="00F976E3">
              <w:rPr>
                <w:sz w:val="20"/>
              </w:rPr>
              <w:t>400.000</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D95804" w:rsidP="00455CE1" w:rsidRDefault="00D95804">
            <w:r w:rsidRPr="00564A2A">
              <w:rPr>
                <w:sz w:val="18"/>
                <w:szCs w:val="18"/>
              </w:rPr>
              <w:t>kr.</w:t>
            </w:r>
          </w:p>
        </w:tc>
        <w:tc>
          <w:tcPr>
            <w:tcW w:w="939" w:type="pct"/>
            <w:gridSpan w:val="3"/>
            <w:vMerge/>
            <w:tcBorders>
              <w:left w:val="nil"/>
              <w:right w:val="single" w:color="auto" w:sz="4" w:space="0"/>
            </w:tcBorders>
            <w:shd w:val="clear" w:color="auto" w:fill="auto"/>
          </w:tcPr>
          <w:p w:rsidRPr="00564A2A" w:rsidR="00D95804" w:rsidP="00455CE1" w:rsidRDefault="00D95804">
            <w:pPr>
              <w:jc w:val="right"/>
              <w:rPr>
                <w:sz w:val="20"/>
              </w:rPr>
            </w:pPr>
          </w:p>
        </w:tc>
      </w:tr>
      <w:tr w:rsidRPr="00CB387F" w:rsidR="00D95804" w:rsidTr="005B304B">
        <w:tc>
          <w:tcPr>
            <w:tcW w:w="3089" w:type="pct"/>
            <w:tcBorders>
              <w:top w:val="single" w:color="auto" w:sz="4" w:space="0"/>
              <w:left w:val="single" w:color="auto" w:sz="4" w:space="0"/>
              <w:bottom w:val="single" w:color="auto" w:sz="4" w:space="0"/>
              <w:right w:val="single" w:color="auto" w:sz="4" w:space="0"/>
            </w:tcBorders>
            <w:shd w:val="clear" w:color="auto" w:fill="auto"/>
          </w:tcPr>
          <w:p w:rsidRPr="00564A2A" w:rsidR="00D95804" w:rsidP="00455CE1" w:rsidRDefault="00D95804">
            <w:pPr>
              <w:rPr>
                <w:sz w:val="20"/>
              </w:rPr>
            </w:pPr>
            <w:r w:rsidRPr="00564A2A">
              <w:rPr>
                <w:sz w:val="20"/>
              </w:rPr>
              <w:t>Korrektion ift. faktiske nettofinansielle poster i 2012</w:t>
            </w:r>
          </w:p>
        </w:tc>
        <w:tc>
          <w:tcPr>
            <w:tcW w:w="727" w:type="pct"/>
            <w:tcBorders>
              <w:top w:val="single" w:color="auto" w:sz="4" w:space="0"/>
              <w:left w:val="single" w:color="auto" w:sz="4" w:space="0"/>
              <w:bottom w:val="single" w:color="auto" w:sz="4" w:space="0"/>
              <w:right w:val="nil"/>
            </w:tcBorders>
            <w:shd w:val="clear"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REF KorrNetFin \h  \* MERGEFORMAT </w:instrText>
            </w:r>
            <w:r w:rsidRPr="00564A2A">
              <w:rPr>
                <w:sz w:val="20"/>
              </w:rPr>
            </w:r>
            <w:r w:rsidRPr="00564A2A">
              <w:rPr>
                <w:sz w:val="20"/>
              </w:rPr>
              <w:fldChar w:fldCharType="separate"/>
            </w:r>
            <w:r w:rsidRPr="00F976E3" w:rsidR="00F976E3">
              <w:rPr>
                <w:sz w:val="20"/>
              </w:rPr>
              <w:t>92.894</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auto"/>
          </w:tcPr>
          <w:p w:rsidRPr="00564A2A" w:rsidR="00D95804" w:rsidP="00455CE1" w:rsidRDefault="00D95804">
            <w:r w:rsidRPr="00564A2A">
              <w:rPr>
                <w:sz w:val="18"/>
                <w:szCs w:val="18"/>
              </w:rPr>
              <w:t>kr.</w:t>
            </w:r>
          </w:p>
        </w:tc>
        <w:tc>
          <w:tcPr>
            <w:tcW w:w="939" w:type="pct"/>
            <w:gridSpan w:val="3"/>
            <w:vMerge/>
            <w:tcBorders>
              <w:left w:val="nil"/>
              <w:bottom w:val="single" w:color="auto" w:sz="4" w:space="0"/>
              <w:right w:val="single" w:color="auto" w:sz="4" w:space="0"/>
            </w:tcBorders>
            <w:shd w:val="clear" w:color="auto" w:fill="auto"/>
          </w:tcPr>
          <w:p w:rsidRPr="00564A2A" w:rsidR="00D95804" w:rsidP="00455CE1" w:rsidRDefault="00D95804">
            <w:pPr>
              <w:jc w:val="right"/>
              <w:rPr>
                <w:sz w:val="20"/>
              </w:rPr>
            </w:pPr>
          </w:p>
        </w:tc>
      </w:tr>
      <w:tr w:rsidRPr="00564A2A" w:rsidR="00D95804"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pct12" w:color="auto" w:fill="auto"/>
          </w:tcPr>
          <w:p w:rsidRPr="00564A2A" w:rsidR="00D95804" w:rsidP="00455CE1" w:rsidRDefault="00D95804">
            <w:pPr>
              <w:rPr>
                <w:sz w:val="20"/>
              </w:rPr>
            </w:pPr>
            <w:r w:rsidRPr="00564A2A">
              <w:rPr>
                <w:sz w:val="20"/>
              </w:rPr>
              <w:t>Øvrige udgifter mv. i alt</w:t>
            </w:r>
          </w:p>
        </w:tc>
        <w:bookmarkStart w:name="OvrUdgIalt" w:id="4"/>
        <w:tc>
          <w:tcPr>
            <w:tcW w:w="727" w:type="pct"/>
            <w:tcBorders>
              <w:top w:val="single" w:color="auto" w:sz="4" w:space="0"/>
              <w:left w:val="single" w:color="auto" w:sz="4" w:space="0"/>
              <w:bottom w:val="single" w:color="auto" w:sz="4" w:space="0"/>
              <w:right w:val="nil"/>
            </w:tcBorders>
            <w:shd w:val="pct12"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=SUM(ABOVE) </w:instrText>
            </w:r>
            <w:r w:rsidRPr="00564A2A">
              <w:rPr>
                <w:sz w:val="20"/>
              </w:rPr>
              <w:fldChar w:fldCharType="separate"/>
            </w:r>
            <w:r w:rsidR="0014125F">
              <w:rPr>
                <w:noProof/>
                <w:sz w:val="20"/>
              </w:rPr>
              <w:t>12.840.569</w:t>
            </w:r>
            <w:r w:rsidRPr="00564A2A">
              <w:rPr>
                <w:sz w:val="20"/>
              </w:rPr>
              <w:fldChar w:fldCharType="end"/>
            </w:r>
            <w:bookmarkEnd w:id="4"/>
          </w:p>
        </w:tc>
        <w:tc>
          <w:tcPr>
            <w:tcW w:w="246" w:type="pct"/>
            <w:tcBorders>
              <w:top w:val="single" w:color="auto" w:sz="4" w:space="0"/>
              <w:left w:val="nil"/>
              <w:bottom w:val="single" w:color="auto" w:sz="4" w:space="0"/>
              <w:right w:val="single" w:color="auto" w:sz="4" w:space="0"/>
            </w:tcBorders>
            <w:shd w:val="pct12" w:color="auto" w:fill="auto"/>
          </w:tcPr>
          <w:p w:rsidRPr="00564A2A" w:rsidR="00D95804" w:rsidP="00455CE1" w:rsidRDefault="00D95804">
            <w:pPr>
              <w:rPr>
                <w:sz w:val="18"/>
                <w:szCs w:val="18"/>
              </w:rPr>
            </w:pPr>
            <w:r w:rsidRPr="00564A2A">
              <w:rPr>
                <w:sz w:val="18"/>
                <w:szCs w:val="18"/>
              </w:rPr>
              <w:t>kr.</w:t>
            </w:r>
          </w:p>
        </w:tc>
        <w:tc>
          <w:tcPr>
            <w:tcW w:w="693" w:type="pct"/>
            <w:tcBorders>
              <w:top w:val="single" w:color="auto" w:sz="4" w:space="0"/>
              <w:left w:val="nil"/>
              <w:bottom w:val="single" w:color="auto" w:sz="4" w:space="0"/>
              <w:right w:val="single" w:color="auto" w:sz="4" w:space="0"/>
            </w:tcBorders>
            <w:shd w:val="pct12"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REF OvrUdgIalt \h </w:instrText>
            </w:r>
            <w:r w:rsidRPr="00564A2A">
              <w:rPr>
                <w:sz w:val="20"/>
              </w:rPr>
            </w:r>
            <w:r w:rsidRPr="00564A2A">
              <w:rPr>
                <w:sz w:val="20"/>
              </w:rPr>
              <w:fldChar w:fldCharType="separate"/>
            </w:r>
            <w:r w:rsidR="00F976E3">
              <w:rPr>
                <w:noProof/>
                <w:sz w:val="20"/>
              </w:rPr>
              <w:t>12.840.569</w:t>
            </w:r>
            <w:r w:rsidRPr="00564A2A">
              <w:rPr>
                <w:sz w:val="20"/>
              </w:rPr>
              <w:fldChar w:fldCharType="end"/>
            </w:r>
          </w:p>
        </w:tc>
        <w:tc>
          <w:tcPr>
            <w:tcW w:w="240" w:type="pct"/>
            <w:tcBorders>
              <w:top w:val="single" w:color="auto" w:sz="4" w:space="0"/>
              <w:left w:val="nil"/>
              <w:bottom w:val="single" w:color="auto" w:sz="4" w:space="0"/>
              <w:right w:val="single" w:color="auto" w:sz="4" w:space="0"/>
            </w:tcBorders>
            <w:shd w:val="pct12" w:color="auto" w:fill="auto"/>
          </w:tcPr>
          <w:p w:rsidRPr="00564A2A" w:rsidR="00D95804" w:rsidP="00455CE1" w:rsidRDefault="00D95804">
            <w:pPr>
              <w:rPr>
                <w:sz w:val="18"/>
                <w:szCs w:val="18"/>
              </w:rPr>
            </w:pPr>
            <w:r w:rsidRPr="00564A2A">
              <w:rPr>
                <w:sz w:val="18"/>
                <w:szCs w:val="18"/>
              </w:rPr>
              <w:t>kr.</w:t>
            </w:r>
          </w:p>
        </w:tc>
      </w:tr>
      <w:tr w:rsidRPr="00564A2A" w:rsidR="00D95804"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rPr>
                <w:b/>
                <w:sz w:val="20"/>
              </w:rPr>
            </w:pPr>
            <w:r w:rsidRPr="00564A2A">
              <w:rPr>
                <w:b/>
                <w:sz w:val="20"/>
              </w:rPr>
              <w:t>Historisk over- eller underdækning</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r>
      <w:tr w:rsidRPr="00564A2A" w:rsidR="00D95804"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64A2A" w:rsidR="00D95804" w:rsidP="00455CE1" w:rsidRDefault="00D95804">
            <w:pPr>
              <w:rPr>
                <w:sz w:val="20"/>
              </w:rPr>
            </w:pPr>
            <w:r w:rsidRPr="00564A2A">
              <w:rPr>
                <w:sz w:val="20"/>
              </w:rPr>
              <w:t xml:space="preserve">Tillæg/fradrag for over- eller underdækning til og med 2010 </w:t>
            </w:r>
          </w:p>
        </w:tc>
        <w:tc>
          <w:tcPr>
            <w:tcW w:w="727" w:type="pct"/>
            <w:tcBorders>
              <w:top w:val="single" w:color="auto" w:sz="4" w:space="0"/>
              <w:left w:val="single" w:color="auto" w:sz="4" w:space="0"/>
              <w:bottom w:val="single" w:color="auto" w:sz="4" w:space="0"/>
              <w:right w:val="nil"/>
            </w:tcBorders>
            <w:shd w:val="clear" w:color="auto" w:fill="D9D9D9" w:themeFill="background1" w:themeFillShade="D9"/>
          </w:tcPr>
          <w:p w:rsidRPr="00564A2A" w:rsidR="00D95804" w:rsidP="00A17105" w:rsidRDefault="00D95804">
            <w:pPr>
              <w:jc w:val="right"/>
              <w:rPr>
                <w:sz w:val="20"/>
              </w:rPr>
            </w:pPr>
            <w:r w:rsidRPr="00564A2A">
              <w:rPr>
                <w:sz w:val="20"/>
              </w:rPr>
              <w:fldChar w:fldCharType="begin"/>
            </w:r>
            <w:r w:rsidRPr="00564A2A">
              <w:rPr>
                <w:sz w:val="20"/>
              </w:rPr>
              <w:instrText xml:space="preserve"> REF OverUnder \h  \* MERGEFORMAT </w:instrText>
            </w:r>
            <w:r w:rsidRPr="00564A2A">
              <w:rPr>
                <w:sz w:val="20"/>
              </w:rPr>
            </w:r>
            <w:r w:rsidRPr="00564A2A">
              <w:rPr>
                <w:sz w:val="20"/>
              </w:rPr>
              <w:fldChar w:fldCharType="separate"/>
            </w:r>
            <w:r w:rsidRPr="00F976E3" w:rsidR="00F976E3">
              <w:rPr>
                <w:sz w:val="20"/>
              </w:rPr>
              <w:t>898.171</w:t>
            </w:r>
            <w:r w:rsidRPr="00564A2A">
              <w:rPr>
                <w:sz w:val="20"/>
              </w:rPr>
              <w:fldChar w:fldCharType="end"/>
            </w:r>
          </w:p>
        </w:tc>
        <w:tc>
          <w:tcPr>
            <w:tcW w:w="246" w:type="pct"/>
            <w:tcBorders>
              <w:top w:val="single" w:color="auto" w:sz="4" w:space="0"/>
              <w:left w:val="nil"/>
              <w:bottom w:val="single" w:color="auto" w:sz="4" w:space="0"/>
              <w:right w:val="single" w:color="auto" w:sz="4" w:space="0"/>
            </w:tcBorders>
            <w:shd w:val="clear" w:color="auto" w:fill="D9D9D9" w:themeFill="background1" w:themeFillShade="D9"/>
          </w:tcPr>
          <w:p w:rsidRPr="00564A2A" w:rsidR="00D95804" w:rsidP="00455CE1" w:rsidRDefault="00D95804">
            <w:r w:rsidRPr="00564A2A">
              <w:rPr>
                <w:sz w:val="18"/>
                <w:szCs w:val="18"/>
              </w:rPr>
              <w:t>kr.</w:t>
            </w:r>
          </w:p>
        </w:tc>
        <w:tc>
          <w:tcPr>
            <w:tcW w:w="693" w:type="pct"/>
            <w:tcBorders>
              <w:top w:val="single" w:color="auto" w:sz="4" w:space="0"/>
              <w:left w:val="nil"/>
              <w:bottom w:val="single" w:color="auto" w:sz="4" w:space="0"/>
              <w:right w:val="single" w:color="auto" w:sz="4" w:space="0"/>
            </w:tcBorders>
            <w:shd w:val="clear" w:color="auto" w:fill="D9D9D9" w:themeFill="background1" w:themeFillShade="D9"/>
          </w:tcPr>
          <w:p w:rsidRPr="00564A2A" w:rsidR="00D95804" w:rsidP="00A17105" w:rsidRDefault="00D95804">
            <w:pPr>
              <w:jc w:val="right"/>
              <w:rPr>
                <w:bCs/>
                <w:sz w:val="20"/>
              </w:rPr>
            </w:pPr>
            <w:r w:rsidRPr="00564A2A">
              <w:rPr>
                <w:bCs/>
                <w:sz w:val="20"/>
              </w:rPr>
              <w:fldChar w:fldCharType="begin"/>
            </w:r>
            <w:r w:rsidRPr="00564A2A">
              <w:rPr>
                <w:bCs/>
                <w:sz w:val="20"/>
              </w:rPr>
              <w:instrText xml:space="preserve"> REF OverUnder \h  \* MERGEFORMAT </w:instrText>
            </w:r>
            <w:r w:rsidRPr="00564A2A">
              <w:rPr>
                <w:bCs/>
                <w:sz w:val="20"/>
              </w:rPr>
            </w:r>
            <w:r w:rsidRPr="00564A2A">
              <w:rPr>
                <w:bCs/>
                <w:sz w:val="20"/>
              </w:rPr>
              <w:fldChar w:fldCharType="separate"/>
            </w:r>
            <w:r w:rsidRPr="00F976E3" w:rsidR="00F976E3">
              <w:rPr>
                <w:sz w:val="20"/>
              </w:rPr>
              <w:t>898.171</w:t>
            </w:r>
            <w:r w:rsidRPr="00564A2A">
              <w:rPr>
                <w:bCs/>
                <w:sz w:val="20"/>
              </w:rPr>
              <w:fldChar w:fldCharType="end"/>
            </w:r>
          </w:p>
        </w:tc>
        <w:tc>
          <w:tcPr>
            <w:tcW w:w="240" w:type="pct"/>
            <w:tcBorders>
              <w:top w:val="single" w:color="auto" w:sz="4" w:space="0"/>
              <w:left w:val="nil"/>
              <w:bottom w:val="single" w:color="auto" w:sz="4" w:space="0"/>
              <w:right w:val="single" w:color="auto" w:sz="4" w:space="0"/>
            </w:tcBorders>
            <w:shd w:val="clear" w:color="auto" w:fill="D9D9D9" w:themeFill="background1" w:themeFillShade="D9"/>
          </w:tcPr>
          <w:p w:rsidRPr="00564A2A" w:rsidR="00D95804" w:rsidP="00455CE1" w:rsidRDefault="00D95804">
            <w:pPr>
              <w:rPr>
                <w:sz w:val="18"/>
                <w:szCs w:val="18"/>
              </w:rPr>
            </w:pPr>
            <w:r w:rsidRPr="00564A2A">
              <w:rPr>
                <w:sz w:val="18"/>
                <w:szCs w:val="18"/>
              </w:rPr>
              <w:t>kr.</w:t>
            </w:r>
          </w:p>
        </w:tc>
      </w:tr>
      <w:tr w:rsidRPr="00564A2A" w:rsidR="00D95804" w:rsidTr="005B304B">
        <w:trPr>
          <w:gridAfter w:val="1"/>
          <w:wAfter w:w="6" w:type="pct"/>
          <w:trHeight w:val="143"/>
        </w:trPr>
        <w:tc>
          <w:tcPr>
            <w:tcW w:w="3089" w:type="pct"/>
            <w:tcBorders>
              <w:top w:val="single" w:color="auto" w:sz="4" w:space="0"/>
              <w:left w:val="single" w:color="auto" w:sz="4" w:space="0"/>
              <w:bottom w:val="single" w:color="auto" w:sz="4" w:space="0"/>
              <w:right w:val="single" w:color="auto" w:sz="4" w:space="0"/>
            </w:tcBorders>
            <w:shd w:val="clear" w:color="auto" w:fill="000000" w:themeFill="text1"/>
          </w:tcPr>
          <w:p w:rsidRPr="00564A2A" w:rsidR="00D95804" w:rsidP="00455CE1" w:rsidRDefault="00D95804">
            <w:pPr>
              <w:rPr>
                <w:color w:val="FFFFFF" w:themeColor="background1"/>
                <w:sz w:val="20"/>
              </w:rPr>
            </w:pPr>
            <w:r w:rsidRPr="00564A2A">
              <w:rPr>
                <w:color w:val="FFFFFF" w:themeColor="background1"/>
                <w:sz w:val="20"/>
              </w:rPr>
              <w:t xml:space="preserve">Korrektion i forhold til tidligere indtægtsramme </w:t>
            </w:r>
          </w:p>
        </w:tc>
        <w:tc>
          <w:tcPr>
            <w:tcW w:w="727" w:type="pct"/>
            <w:tcBorders>
              <w:top w:val="single" w:color="auto" w:sz="4" w:space="0"/>
              <w:left w:val="single" w:color="auto" w:sz="4" w:space="0"/>
              <w:right w:val="nil"/>
            </w:tcBorders>
            <w:shd w:val="clear" w:color="auto" w:fill="000000" w:themeFill="text1"/>
          </w:tcPr>
          <w:p w:rsidRPr="00564A2A" w:rsidR="00D95804" w:rsidP="00455CE1" w:rsidRDefault="00D95804">
            <w:pPr>
              <w:jc w:val="right"/>
              <w:rPr>
                <w:color w:val="FFFFFF" w:themeColor="background1"/>
                <w:sz w:val="20"/>
              </w:rPr>
            </w:pPr>
          </w:p>
        </w:tc>
        <w:tc>
          <w:tcPr>
            <w:tcW w:w="246" w:type="pct"/>
            <w:tcBorders>
              <w:top w:val="single" w:color="auto" w:sz="4" w:space="0"/>
              <w:left w:val="nil"/>
              <w:right w:val="single" w:color="auto" w:sz="4" w:space="0"/>
            </w:tcBorders>
            <w:shd w:val="clear" w:color="auto" w:fill="000000" w:themeFill="text1"/>
          </w:tcPr>
          <w:p w:rsidRPr="00564A2A" w:rsidR="00D95804" w:rsidP="00455CE1" w:rsidRDefault="00D95804">
            <w:pPr>
              <w:rPr>
                <w:color w:val="FFFFFF" w:themeColor="background1"/>
                <w:sz w:val="18"/>
                <w:szCs w:val="18"/>
              </w:rPr>
            </w:pPr>
          </w:p>
        </w:tc>
        <w:tc>
          <w:tcPr>
            <w:tcW w:w="693" w:type="pct"/>
            <w:tcBorders>
              <w:top w:val="single" w:color="auto" w:sz="4" w:space="0"/>
              <w:left w:val="nil"/>
              <w:right w:val="single" w:color="auto" w:sz="4" w:space="0"/>
            </w:tcBorders>
            <w:shd w:val="clear" w:color="auto" w:fill="000000" w:themeFill="text1"/>
          </w:tcPr>
          <w:p w:rsidRPr="00564A2A" w:rsidR="00D95804" w:rsidP="00455CE1" w:rsidRDefault="00D95804">
            <w:pPr>
              <w:jc w:val="right"/>
              <w:rPr>
                <w:color w:val="FFFFFF" w:themeColor="background1"/>
              </w:rPr>
            </w:pPr>
          </w:p>
        </w:tc>
        <w:tc>
          <w:tcPr>
            <w:tcW w:w="240" w:type="pct"/>
            <w:tcBorders>
              <w:top w:val="single" w:color="auto" w:sz="4" w:space="0"/>
              <w:left w:val="nil"/>
              <w:right w:val="single" w:color="auto" w:sz="4" w:space="0"/>
            </w:tcBorders>
            <w:shd w:val="clear" w:color="auto" w:fill="000000" w:themeFill="text1"/>
          </w:tcPr>
          <w:p w:rsidRPr="00564A2A" w:rsidR="00D95804" w:rsidP="00455CE1" w:rsidRDefault="00D95804">
            <w:pPr>
              <w:jc w:val="right"/>
              <w:rPr>
                <w:color w:val="FFFFFF" w:themeColor="background1"/>
              </w:rPr>
            </w:pPr>
          </w:p>
        </w:tc>
      </w:tr>
      <w:tr w:rsidRPr="00564A2A" w:rsidR="00D95804" w:rsidTr="005B304B">
        <w:trPr>
          <w:gridAfter w:val="1"/>
          <w:wAfter w:w="6" w:type="pct"/>
          <w:trHeight w:val="143"/>
        </w:trPr>
        <w:tc>
          <w:tcPr>
            <w:tcW w:w="308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64A2A" w:rsidR="00D95804" w:rsidP="00455CE1" w:rsidRDefault="00D95804">
            <w:pPr>
              <w:rPr>
                <w:sz w:val="20"/>
              </w:rPr>
            </w:pPr>
            <w:r w:rsidRPr="00564A2A">
              <w:rPr>
                <w:sz w:val="20"/>
              </w:rPr>
              <w:t>Korrektion for overholdelse af indtægtsramme i prisloft 2012</w:t>
            </w:r>
          </w:p>
        </w:tc>
        <w:tc>
          <w:tcPr>
            <w:tcW w:w="727" w:type="pct"/>
            <w:tcBorders>
              <w:top w:val="single" w:color="auto" w:sz="4" w:space="0"/>
              <w:left w:val="single" w:color="auto" w:sz="4" w:space="0"/>
              <w:right w:val="nil"/>
            </w:tcBorders>
            <w:shd w:val="clear" w:color="auto" w:fill="D9D9D9" w:themeFill="background1" w:themeFillShade="D9"/>
          </w:tcPr>
          <w:p w:rsidRPr="00564A2A" w:rsidR="00D95804" w:rsidP="00455CE1" w:rsidRDefault="00D95804">
            <w:pPr>
              <w:jc w:val="right"/>
              <w:rPr>
                <w:sz w:val="20"/>
              </w:rPr>
            </w:pPr>
            <w:r w:rsidRPr="00564A2A">
              <w:rPr>
                <w:sz w:val="20"/>
              </w:rPr>
              <w:fldChar w:fldCharType="begin"/>
            </w:r>
            <w:r w:rsidRPr="00564A2A">
              <w:rPr>
                <w:sz w:val="20"/>
              </w:rPr>
              <w:instrText xml:space="preserve"> REF KorrIndt \h  \* MERGEFORMAT </w:instrText>
            </w:r>
            <w:r w:rsidRPr="00564A2A">
              <w:rPr>
                <w:sz w:val="20"/>
              </w:rPr>
            </w:r>
            <w:r w:rsidRPr="00564A2A">
              <w:rPr>
                <w:sz w:val="20"/>
              </w:rPr>
              <w:fldChar w:fldCharType="separate"/>
            </w:r>
            <w:r w:rsidR="00F976E3">
              <w:rPr>
                <w:sz w:val="20"/>
              </w:rPr>
              <w:t>340.055</w:t>
            </w:r>
            <w:r w:rsidRPr="00564A2A">
              <w:rPr>
                <w:sz w:val="20"/>
              </w:rPr>
              <w:fldChar w:fldCharType="end"/>
            </w:r>
          </w:p>
        </w:tc>
        <w:tc>
          <w:tcPr>
            <w:tcW w:w="246" w:type="pct"/>
            <w:tcBorders>
              <w:top w:val="single" w:color="auto" w:sz="4" w:space="0"/>
              <w:left w:val="nil"/>
              <w:right w:val="single" w:color="auto" w:sz="4" w:space="0"/>
            </w:tcBorders>
            <w:shd w:val="clear" w:color="auto" w:fill="D9D9D9" w:themeFill="background1" w:themeFillShade="D9"/>
          </w:tcPr>
          <w:p w:rsidRPr="00564A2A" w:rsidR="00D95804" w:rsidP="00455CE1" w:rsidRDefault="00D95804">
            <w:r w:rsidRPr="00564A2A">
              <w:rPr>
                <w:sz w:val="18"/>
                <w:szCs w:val="18"/>
              </w:rPr>
              <w:t>kr.</w:t>
            </w:r>
          </w:p>
        </w:tc>
        <w:tc>
          <w:tcPr>
            <w:tcW w:w="693" w:type="pct"/>
            <w:tcBorders>
              <w:top w:val="single" w:color="auto" w:sz="4" w:space="0"/>
              <w:left w:val="nil"/>
              <w:right w:val="single" w:color="auto" w:sz="4" w:space="0"/>
            </w:tcBorders>
            <w:shd w:val="clear" w:color="auto" w:fill="D9D9D9" w:themeFill="background1" w:themeFillShade="D9"/>
          </w:tcPr>
          <w:p w:rsidRPr="00564A2A" w:rsidR="00D95804" w:rsidP="00BA627A" w:rsidRDefault="00D95804">
            <w:pPr>
              <w:jc w:val="right"/>
              <w:rPr>
                <w:sz w:val="20"/>
              </w:rPr>
            </w:pPr>
            <w:r w:rsidRPr="00564A2A">
              <w:rPr>
                <w:sz w:val="20"/>
              </w:rPr>
              <w:fldChar w:fldCharType="begin"/>
            </w:r>
            <w:r w:rsidRPr="00564A2A">
              <w:rPr>
                <w:sz w:val="20"/>
              </w:rPr>
              <w:instrText xml:space="preserve"> REF KorrIndt \h  \* MERGEFORMAT </w:instrText>
            </w:r>
            <w:r w:rsidRPr="00564A2A">
              <w:rPr>
                <w:sz w:val="20"/>
              </w:rPr>
            </w:r>
            <w:r w:rsidRPr="00564A2A">
              <w:rPr>
                <w:sz w:val="20"/>
              </w:rPr>
              <w:fldChar w:fldCharType="separate"/>
            </w:r>
            <w:r w:rsidR="00F976E3">
              <w:rPr>
                <w:sz w:val="20"/>
              </w:rPr>
              <w:t>340.055</w:t>
            </w:r>
            <w:r w:rsidRPr="00564A2A">
              <w:rPr>
                <w:sz w:val="20"/>
              </w:rPr>
              <w:fldChar w:fldCharType="end"/>
            </w:r>
          </w:p>
        </w:tc>
        <w:tc>
          <w:tcPr>
            <w:tcW w:w="240" w:type="pct"/>
            <w:tcBorders>
              <w:top w:val="single" w:color="auto" w:sz="4" w:space="0"/>
              <w:left w:val="nil"/>
              <w:right w:val="single" w:color="auto" w:sz="4" w:space="0"/>
            </w:tcBorders>
            <w:shd w:val="clear" w:color="auto" w:fill="D9D9D9" w:themeFill="background1" w:themeFillShade="D9"/>
          </w:tcPr>
          <w:p w:rsidRPr="00564A2A" w:rsidR="00D95804" w:rsidP="00455CE1" w:rsidRDefault="00D95804">
            <w:pPr>
              <w:jc w:val="right"/>
            </w:pPr>
            <w:r w:rsidRPr="00564A2A">
              <w:rPr>
                <w:sz w:val="18"/>
                <w:szCs w:val="18"/>
              </w:rPr>
              <w:t>kr.</w:t>
            </w:r>
          </w:p>
        </w:tc>
      </w:tr>
      <w:tr w:rsidRPr="00564A2A" w:rsidR="00D95804" w:rsidTr="005B304B">
        <w:trPr>
          <w:gridAfter w:val="1"/>
          <w:wAfter w:w="6" w:type="pct"/>
        </w:trPr>
        <w:tc>
          <w:tcPr>
            <w:tcW w:w="3089"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rPr>
                <w:b/>
                <w:sz w:val="20"/>
              </w:rPr>
            </w:pPr>
            <w:r w:rsidRPr="00564A2A">
              <w:rPr>
                <w:b/>
                <w:sz w:val="20"/>
              </w:rPr>
              <w:t>Samlede prisloft</w:t>
            </w:r>
          </w:p>
        </w:tc>
        <w:tc>
          <w:tcPr>
            <w:tcW w:w="727"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246"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693"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564A2A" w:rsidR="00D95804" w:rsidP="00455CE1" w:rsidRDefault="00D95804">
            <w:pPr>
              <w:jc w:val="center"/>
              <w:rPr>
                <w:b/>
                <w:sz w:val="20"/>
              </w:rPr>
            </w:pPr>
          </w:p>
        </w:tc>
      </w:tr>
      <w:tr w:rsidRPr="00CB387F" w:rsidR="00D95804" w:rsidTr="0004183D">
        <w:trPr>
          <w:trHeight w:val="142"/>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564A2A" w:rsidR="00D95804" w:rsidP="00455CE1" w:rsidRDefault="00D95804">
            <w:pPr>
              <w:rPr>
                <w:sz w:val="20"/>
              </w:rPr>
            </w:pPr>
            <w:r w:rsidRPr="00564A2A">
              <w:rPr>
                <w:sz w:val="20"/>
              </w:rPr>
              <w:t xml:space="preserve">Indtægtsramme i 2014 </w:t>
            </w:r>
          </w:p>
        </w:tc>
        <w:bookmarkStart w:name="IndtRamme" w:id="5"/>
        <w:tc>
          <w:tcPr>
            <w:tcW w:w="693" w:type="pct"/>
            <w:tcBorders>
              <w:left w:val="single" w:color="auto" w:sz="4" w:space="0"/>
              <w:bottom w:val="single" w:color="auto" w:sz="4" w:space="0"/>
              <w:right w:val="nil"/>
            </w:tcBorders>
            <w:shd w:val="pct12" w:color="auto" w:fill="auto"/>
          </w:tcPr>
          <w:p w:rsidRPr="00564A2A" w:rsidR="00D95804" w:rsidP="00455CE1" w:rsidRDefault="00D95804">
            <w:pPr>
              <w:jc w:val="right"/>
              <w:rPr>
                <w:sz w:val="20"/>
              </w:rPr>
            </w:pPr>
            <w:r w:rsidRPr="00564A2A">
              <w:rPr>
                <w:sz w:val="20"/>
              </w:rPr>
              <w:fldChar w:fldCharType="begin"/>
            </w:r>
            <w:r w:rsidRPr="00564A2A">
              <w:rPr>
                <w:sz w:val="20"/>
              </w:rPr>
              <w:instrText xml:space="preserve"> =SUM(DriftIalt;InvIalt;OvrUdgIalt;OverUnder;KorrIndt) </w:instrText>
            </w:r>
            <w:r w:rsidRPr="00564A2A">
              <w:rPr>
                <w:sz w:val="20"/>
              </w:rPr>
              <w:fldChar w:fldCharType="separate"/>
            </w:r>
            <w:r w:rsidR="0014125F">
              <w:rPr>
                <w:noProof/>
                <w:sz w:val="20"/>
              </w:rPr>
              <w:t>32.385.217</w:t>
            </w:r>
            <w:r w:rsidRPr="00564A2A">
              <w:rPr>
                <w:sz w:val="20"/>
              </w:rPr>
              <w:fldChar w:fldCharType="end"/>
            </w:r>
            <w:bookmarkEnd w:id="5"/>
          </w:p>
        </w:tc>
        <w:tc>
          <w:tcPr>
            <w:tcW w:w="246" w:type="pct"/>
            <w:gridSpan w:val="2"/>
            <w:tcBorders>
              <w:left w:val="nil"/>
              <w:bottom w:val="single" w:color="auto" w:sz="4" w:space="0"/>
              <w:right w:val="single" w:color="auto" w:sz="4" w:space="0"/>
            </w:tcBorders>
            <w:shd w:val="pct12" w:color="auto" w:fill="auto"/>
          </w:tcPr>
          <w:p w:rsidRPr="00564A2A" w:rsidR="00D95804" w:rsidP="00455CE1" w:rsidRDefault="00D95804">
            <w:pPr>
              <w:rPr>
                <w:sz w:val="18"/>
                <w:szCs w:val="18"/>
              </w:rPr>
            </w:pPr>
            <w:r w:rsidRPr="00564A2A">
              <w:rPr>
                <w:sz w:val="18"/>
                <w:szCs w:val="18"/>
              </w:rPr>
              <w:t>kr.</w:t>
            </w:r>
          </w:p>
        </w:tc>
      </w:tr>
      <w:tr w:rsidRPr="00CB387F" w:rsidR="00D95804" w:rsidTr="0004183D">
        <w:trPr>
          <w:trHeight w:val="108"/>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564A2A" w:rsidR="00D95804" w:rsidP="00455CE1" w:rsidRDefault="00D95804">
            <w:pPr>
              <w:rPr>
                <w:sz w:val="20"/>
              </w:rPr>
            </w:pPr>
            <w:r w:rsidRPr="00564A2A">
              <w:rPr>
                <w:sz w:val="20"/>
              </w:rPr>
              <w:t>Debiteret vandmængde 2012</w:t>
            </w:r>
          </w:p>
        </w:tc>
        <w:tc>
          <w:tcPr>
            <w:tcW w:w="693" w:type="pct"/>
            <w:tcBorders>
              <w:top w:val="single" w:color="auto" w:sz="4" w:space="0"/>
              <w:left w:val="single" w:color="auto" w:sz="4" w:space="0"/>
              <w:bottom w:val="single" w:color="auto" w:sz="4" w:space="0"/>
              <w:right w:val="nil"/>
            </w:tcBorders>
            <w:shd w:val="pct12" w:color="auto" w:fill="auto"/>
          </w:tcPr>
          <w:p w:rsidRPr="00564A2A" w:rsidR="00D95804" w:rsidP="00A17105" w:rsidRDefault="00D95804">
            <w:pPr>
              <w:jc w:val="right"/>
              <w:rPr>
                <w:sz w:val="20"/>
              </w:rPr>
            </w:pPr>
            <w:r w:rsidRPr="00564A2A">
              <w:rPr>
                <w:sz w:val="20"/>
              </w:rPr>
              <w:fldChar w:fldCharType="begin"/>
            </w:r>
            <w:r w:rsidRPr="00564A2A">
              <w:rPr>
                <w:sz w:val="20"/>
              </w:rPr>
              <w:instrText xml:space="preserve"> REF DebVand \h  \* MERGEFORMAT </w:instrText>
            </w:r>
            <w:r w:rsidRPr="00564A2A">
              <w:rPr>
                <w:sz w:val="20"/>
              </w:rPr>
            </w:r>
            <w:r w:rsidRPr="00564A2A">
              <w:rPr>
                <w:sz w:val="20"/>
              </w:rPr>
              <w:fldChar w:fldCharType="separate"/>
            </w:r>
            <w:r w:rsidRPr="00F976E3" w:rsidR="00F976E3">
              <w:rPr>
                <w:sz w:val="20"/>
              </w:rPr>
              <w:t>1.229.169</w:t>
            </w:r>
            <w:r w:rsidRPr="00564A2A">
              <w:rPr>
                <w:sz w:val="20"/>
              </w:rPr>
              <w:fldChar w:fldCharType="end"/>
            </w:r>
          </w:p>
        </w:tc>
        <w:tc>
          <w:tcPr>
            <w:tcW w:w="246" w:type="pct"/>
            <w:gridSpan w:val="2"/>
            <w:tcBorders>
              <w:top w:val="single" w:color="auto" w:sz="4" w:space="0"/>
              <w:left w:val="nil"/>
              <w:bottom w:val="single" w:color="auto" w:sz="4" w:space="0"/>
              <w:right w:val="single" w:color="auto" w:sz="4" w:space="0"/>
            </w:tcBorders>
            <w:shd w:val="pct12" w:color="auto" w:fill="auto"/>
          </w:tcPr>
          <w:p w:rsidRPr="00564A2A" w:rsidR="00D95804" w:rsidP="00455CE1" w:rsidRDefault="00D95804">
            <w:pPr>
              <w:jc w:val="right"/>
              <w:rPr>
                <w:sz w:val="18"/>
                <w:szCs w:val="18"/>
              </w:rPr>
            </w:pPr>
            <w:r w:rsidRPr="00564A2A">
              <w:rPr>
                <w:sz w:val="18"/>
                <w:szCs w:val="18"/>
              </w:rPr>
              <w:t>m</w:t>
            </w:r>
            <w:r w:rsidRPr="00564A2A">
              <w:rPr>
                <w:sz w:val="18"/>
                <w:szCs w:val="18"/>
                <w:vertAlign w:val="superscript"/>
              </w:rPr>
              <w:t>3</w:t>
            </w:r>
          </w:p>
        </w:tc>
      </w:tr>
      <w:tr w:rsidRPr="00CB387F" w:rsidR="00D95804" w:rsidTr="0004183D">
        <w:trPr>
          <w:trHeight w:val="108"/>
        </w:trPr>
        <w:tc>
          <w:tcPr>
            <w:tcW w:w="4061" w:type="pct"/>
            <w:gridSpan w:val="3"/>
            <w:tcBorders>
              <w:top w:val="single" w:color="auto" w:sz="4" w:space="0"/>
              <w:left w:val="single" w:color="auto" w:sz="4" w:space="0"/>
              <w:bottom w:val="single" w:color="auto" w:sz="4" w:space="0"/>
              <w:right w:val="single" w:color="auto" w:sz="4" w:space="0"/>
            </w:tcBorders>
            <w:shd w:val="pct12" w:color="auto" w:fill="auto"/>
          </w:tcPr>
          <w:p w:rsidRPr="00564A2A" w:rsidR="00D95804" w:rsidP="00455CE1" w:rsidRDefault="00D95804">
            <w:pPr>
              <w:rPr>
                <w:sz w:val="20"/>
              </w:rPr>
            </w:pPr>
            <w:r w:rsidRPr="00564A2A">
              <w:rPr>
                <w:sz w:val="20"/>
              </w:rPr>
              <w:t xml:space="preserve">Prisloft 2014 </w:t>
            </w:r>
          </w:p>
        </w:tc>
        <w:bookmarkStart w:name="Prisloft" w:id="6"/>
        <w:tc>
          <w:tcPr>
            <w:tcW w:w="939" w:type="pct"/>
            <w:gridSpan w:val="3"/>
            <w:tcBorders>
              <w:top w:val="single" w:color="auto" w:sz="4" w:space="0"/>
              <w:left w:val="single" w:color="auto" w:sz="4" w:space="0"/>
              <w:bottom w:val="single" w:color="auto" w:sz="4" w:space="0"/>
              <w:right w:val="single" w:color="auto" w:sz="4" w:space="0"/>
            </w:tcBorders>
            <w:shd w:val="pct12" w:color="auto" w:fill="auto"/>
          </w:tcPr>
          <w:p w:rsidRPr="00564A2A" w:rsidR="00D95804" w:rsidP="005C4583" w:rsidRDefault="00D95804">
            <w:pPr>
              <w:jc w:val="right"/>
              <w:rPr>
                <w:sz w:val="20"/>
              </w:rPr>
            </w:pPr>
            <w:r w:rsidRPr="00564A2A">
              <w:rPr>
                <w:sz w:val="20"/>
              </w:rPr>
              <w:fldChar w:fldCharType="begin"/>
            </w:r>
            <w:r w:rsidRPr="00564A2A">
              <w:rPr>
                <w:sz w:val="20"/>
              </w:rPr>
              <w:instrText xml:space="preserve"> =IndtRamme/DebVand \# "0,00" </w:instrText>
            </w:r>
            <w:r w:rsidRPr="00564A2A">
              <w:rPr>
                <w:sz w:val="20"/>
              </w:rPr>
              <w:fldChar w:fldCharType="separate"/>
            </w:r>
            <w:r w:rsidR="0014125F">
              <w:rPr>
                <w:noProof/>
                <w:sz w:val="20"/>
              </w:rPr>
              <w:t>26,35</w:t>
            </w:r>
            <w:r w:rsidRPr="00564A2A">
              <w:rPr>
                <w:sz w:val="20"/>
              </w:rPr>
              <w:fldChar w:fldCharType="end"/>
            </w:r>
            <w:bookmarkEnd w:id="6"/>
            <w:r w:rsidRPr="00564A2A">
              <w:rPr>
                <w:sz w:val="20"/>
              </w:rPr>
              <w:t xml:space="preserve"> kr. pr. m</w:t>
            </w:r>
            <w:r w:rsidRPr="00564A2A">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7030BB">
            <w:pPr>
              <w:keepNext/>
              <w:jc w:val="right"/>
              <w:rPr>
                <w:sz w:val="20"/>
                <w:highlight w:val="magenta"/>
              </w:rPr>
            </w:pPr>
            <w:r w:rsidRPr="007030BB">
              <w:rPr>
                <w:sz w:val="20"/>
              </w:rPr>
              <w:t>7.130.967</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7030BB">
            <w:pPr>
              <w:keepNext/>
              <w:jc w:val="right"/>
              <w:rPr>
                <w:sz w:val="20"/>
                <w:highlight w:val="magenta"/>
              </w:rPr>
            </w:pPr>
            <w:r w:rsidRPr="007030BB">
              <w:rPr>
                <w:sz w:val="20"/>
              </w:rPr>
              <w:t>221.060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FA256A"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FA256A" w:rsidP="00FA256A" w:rsidRDefault="00FA256A">
            <w:pPr>
              <w:keepNext/>
              <w:rPr>
                <w:sz w:val="20"/>
              </w:rPr>
            </w:pPr>
            <w:r w:rsidRPr="00FA256A">
              <w:rPr>
                <w:sz w:val="20"/>
              </w:rPr>
              <w:t>Forhøjelse efter 8, stk. 5</w:t>
            </w:r>
            <w:r w:rsidRPr="00FA256A">
              <w:rPr>
                <w:sz w:val="20"/>
              </w:rPr>
              <w:tab/>
            </w:r>
          </w:p>
        </w:tc>
        <w:tc>
          <w:tcPr>
            <w:tcW w:w="997" w:type="pct"/>
            <w:tcBorders>
              <w:top w:val="single" w:color="auto" w:sz="4" w:space="0"/>
              <w:left w:val="single" w:color="auto" w:sz="4" w:space="0"/>
              <w:bottom w:val="single" w:color="auto" w:sz="4" w:space="0"/>
              <w:right w:val="nil"/>
            </w:tcBorders>
            <w:shd w:val="clear" w:color="auto" w:fill="auto"/>
          </w:tcPr>
          <w:p w:rsidRPr="00257DE4" w:rsidR="00FA256A" w:rsidP="00FA256A" w:rsidRDefault="00FA256A">
            <w:pPr>
              <w:keepNext/>
              <w:jc w:val="right"/>
              <w:rPr>
                <w:sz w:val="20"/>
              </w:rPr>
            </w:pPr>
            <w:r w:rsidRPr="00FA256A">
              <w:rPr>
                <w:sz w:val="20"/>
              </w:rPr>
              <w:t>702.63</w:t>
            </w:r>
            <w:r>
              <w:rPr>
                <w:sz w:val="20"/>
              </w:rPr>
              <w:t>8</w:t>
            </w:r>
          </w:p>
        </w:tc>
        <w:tc>
          <w:tcPr>
            <w:tcW w:w="345" w:type="pct"/>
            <w:tcBorders>
              <w:top w:val="single" w:color="auto" w:sz="4" w:space="0"/>
              <w:left w:val="nil"/>
              <w:bottom w:val="single" w:color="auto" w:sz="4" w:space="0"/>
              <w:right w:val="single" w:color="auto" w:sz="4" w:space="0"/>
            </w:tcBorders>
            <w:shd w:val="clear" w:color="auto" w:fill="auto"/>
          </w:tcPr>
          <w:p w:rsidRPr="00257DE4" w:rsidR="00FA256A" w:rsidP="00455CE1" w:rsidRDefault="00FA256A">
            <w:pPr>
              <w:keepNext/>
              <w:jc w:val="right"/>
              <w:rPr>
                <w:sz w:val="20"/>
              </w:rPr>
            </w:pPr>
            <w:r w:rsidRPr="00FA256A">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7030BB">
            <w:pPr>
              <w:keepNext/>
              <w:jc w:val="right"/>
              <w:rPr>
                <w:sz w:val="20"/>
                <w:highlight w:val="magenta"/>
              </w:rPr>
            </w:pPr>
            <w:r w:rsidRPr="007030BB">
              <w:rPr>
                <w:sz w:val="20"/>
              </w:rPr>
              <w:t>-346.800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FA256A" w:rsidRDefault="009B25D7">
            <w:pPr>
              <w:keepNext/>
              <w:jc w:val="right"/>
              <w:rPr>
                <w:sz w:val="20"/>
                <w:highlight w:val="magenta"/>
              </w:rPr>
            </w:pPr>
            <w:bookmarkStart w:name="KorrDrift" w:id="7"/>
            <w:r w:rsidRPr="009B25D7">
              <w:rPr>
                <w:sz w:val="20"/>
              </w:rPr>
              <w:t>7.707.8</w:t>
            </w:r>
            <w:r w:rsidR="00FA256A">
              <w:rPr>
                <w:sz w:val="20"/>
              </w:rPr>
              <w:t>65</w:t>
            </w:r>
            <w:bookmarkEnd w:id="7"/>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375E51" w:rsidP="00375E51" w:rsidRDefault="00375E51">
      <w:pPr>
        <w:jc w:val="both"/>
        <w:rPr>
          <w:szCs w:val="24"/>
        </w:rPr>
      </w:pPr>
    </w:p>
    <w:p w:rsidR="00FA256A" w:rsidP="00375E51" w:rsidRDefault="00FA256A">
      <w:pPr>
        <w:rPr>
          <w:b/>
          <w:szCs w:val="24"/>
        </w:rPr>
      </w:pPr>
    </w:p>
    <w:p w:rsidR="00C14722" w:rsidP="00375E51" w:rsidRDefault="00C14722">
      <w:pPr>
        <w:rPr>
          <w:b/>
          <w:szCs w:val="24"/>
        </w:rPr>
      </w:pPr>
    </w:p>
    <w:p w:rsidRPr="00075DCF" w:rsidR="00375E51" w:rsidP="00375E51" w:rsidRDefault="00375E51">
      <w:pPr>
        <w:rPr>
          <w:b/>
          <w:szCs w:val="24"/>
        </w:rPr>
      </w:pPr>
      <w:r>
        <w:rPr>
          <w:b/>
          <w:szCs w:val="24"/>
        </w:rPr>
        <w:lastRenderedPageBreak/>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rFonts w:ascii="Arial" w:hAnsi="Arial" w:cs="Arial"/>
          <w:b/>
          <w:bCs/>
          <w:color w:val="000000"/>
          <w:sz w:val="22"/>
          <w:szCs w:val="22"/>
        </w:rPr>
      </w:pPr>
    </w:p>
    <w:p w:rsidR="00375E51" w:rsidP="00375E51" w:rsidRDefault="00375E51">
      <w:pPr>
        <w:autoSpaceDE w:val="0"/>
        <w:autoSpaceDN w:val="0"/>
        <w:adjustRightInd w:val="0"/>
        <w:jc w:val="both"/>
        <w:rPr>
          <w:bCs/>
          <w:i/>
          <w:color w:val="000000"/>
        </w:rPr>
      </w:pPr>
      <w:r>
        <w:rPr>
          <w:bCs/>
          <w:i/>
          <w:color w:val="000000"/>
        </w:rPr>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375E51" w:rsidP="00375E51" w:rsidRDefault="00375E51">
      <w:pPr>
        <w:jc w:val="both"/>
      </w:pPr>
      <w:r>
        <w:t xml:space="preserve">Den samlede korrektion for prisudviklingen kan således opgøres til </w:t>
      </w:r>
      <w:bookmarkStart w:name="PrisUdv" w:id="8"/>
      <w:r w:rsidRPr="005B304B" w:rsidR="005B304B">
        <w:t>115.618</w:t>
      </w:r>
      <w:bookmarkEnd w:id="8"/>
      <w:r>
        <w:rPr>
          <w:szCs w:val="24"/>
        </w:rPr>
        <w:t xml:space="preserve"> </w:t>
      </w:r>
      <w:r>
        <w:t xml:space="preserve">kr., </w:t>
      </w:r>
      <w:r w:rsidRPr="00BB0466">
        <w:t xml:space="preserve">svarende til </w:t>
      </w:r>
      <w:r>
        <w:t xml:space="preserve">1,5 pct. af </w:t>
      </w:r>
      <w:r w:rsidRPr="005B304B" w:rsidR="005B304B">
        <w:t>7.707.865</w:t>
      </w:r>
      <w:r>
        <w:t xml:space="preserve"> kr. De pristalskorrigerede </w:t>
      </w:r>
      <w:r>
        <w:lastRenderedPageBreak/>
        <w:t xml:space="preserve">driftsomkostninger kan således opgøres til </w:t>
      </w:r>
      <w:r w:rsidR="005B304B">
        <w:t>7.823.483</w:t>
      </w:r>
      <w:r>
        <w:t xml:space="preserve"> kr. </w:t>
      </w:r>
      <w:r w:rsidRPr="00F77FB5">
        <w:t>(</w:t>
      </w:r>
      <w:r>
        <w:t>1,</w:t>
      </w:r>
      <w:r w:rsidRPr="00BB0466">
        <w:t>0</w:t>
      </w:r>
      <w:r>
        <w:t>15</w:t>
      </w:r>
      <w:r w:rsidRPr="00F77FB5">
        <w:t>*</w:t>
      </w:r>
      <w:r w:rsidRPr="005B304B" w:rsidR="005B304B">
        <w:t>7.707.865</w:t>
      </w:r>
      <w:r w:rsidR="005B304B">
        <w:t xml:space="preserve"> </w:t>
      </w:r>
      <w:r w:rsidRPr="00F77FB5">
        <w:t>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4B52F1" w:rsidR="004B52F1">
        <w:t>4.191.392</w:t>
      </w:r>
      <w:r w:rsidR="004B52F1">
        <w:t xml:space="preserve"> </w:t>
      </w:r>
      <w:r>
        <w:t xml:space="preserve">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807134" w:rsidP="00807134" w:rsidRDefault="00807134">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AE1521" w:rsidP="00AE1521" w:rsidRDefault="00AE1521">
      <w:pPr>
        <w:autoSpaceDE w:val="0"/>
        <w:autoSpaceDN w:val="0"/>
        <w:adjustRightInd w:val="0"/>
        <w:jc w:val="both"/>
      </w:pPr>
    </w:p>
    <w:p w:rsidR="00C14722" w:rsidRDefault="00C14722">
      <w:pPr>
        <w:spacing w:line="240" w:lineRule="auto"/>
        <w:rPr>
          <w:i/>
        </w:rPr>
      </w:pPr>
      <w:r>
        <w:rPr>
          <w:i/>
        </w:rPr>
        <w:br w:type="page"/>
      </w:r>
    </w:p>
    <w:p w:rsidR="00AE1521" w:rsidP="00AE1521" w:rsidRDefault="00AE1521">
      <w:pPr>
        <w:jc w:val="both"/>
        <w:rPr>
          <w:i/>
        </w:rPr>
      </w:pPr>
      <w:r>
        <w:rPr>
          <w:i/>
        </w:rPr>
        <w:lastRenderedPageBreak/>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10-års gennemsnit                                                                                                       -0,</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AD4B44" w:rsidP="00807134" w:rsidRDefault="00AD4B4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sætning af costdrivere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sammensætning af costdrivere</w:t>
      </w:r>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26641C" w:rsidP="00807134" w:rsidRDefault="0026641C">
      <w:pPr>
        <w:jc w:val="both"/>
        <w:rPr>
          <w:color w:val="000000"/>
        </w:rPr>
      </w:pPr>
    </w:p>
    <w:p w:rsidR="00C14722" w:rsidP="00AE1521" w:rsidRDefault="00C14722">
      <w:pPr>
        <w:jc w:val="both"/>
        <w:rPr>
          <w:color w:val="000000"/>
          <w:u w:val="single"/>
        </w:rPr>
      </w:pPr>
    </w:p>
    <w:p w:rsidRPr="000E216D" w:rsidR="00AE1521" w:rsidP="00AE1521" w:rsidRDefault="00AE1521">
      <w:pPr>
        <w:jc w:val="both"/>
        <w:rPr>
          <w:color w:val="000000"/>
          <w:u w:val="single"/>
        </w:rPr>
      </w:pPr>
      <w:r>
        <w:rPr>
          <w:color w:val="000000"/>
          <w:u w:val="single"/>
        </w:rPr>
        <w:lastRenderedPageBreak/>
        <w:t>S</w:t>
      </w:r>
      <w:r w:rsidRPr="000E216D">
        <w:rPr>
          <w:color w:val="000000"/>
          <w:u w:val="single"/>
        </w:rPr>
        <w:t>ærlige forhold</w:t>
      </w:r>
    </w:p>
    <w:p w:rsidR="00AE1521" w:rsidP="00AE1521" w:rsidRDefault="00AE1521">
      <w:pPr>
        <w:jc w:val="both"/>
      </w:pPr>
      <w:r>
        <w:t>Selskabet har angivet følgende særlige forhold, som er behandlet i det nedenstående:</w:t>
      </w:r>
    </w:p>
    <w:p w:rsidR="00C14722" w:rsidP="00AE1521" w:rsidRDefault="00C14722">
      <w:pPr>
        <w:jc w:val="both"/>
      </w:pPr>
    </w:p>
    <w:p w:rsidR="00457807" w:rsidP="00457807" w:rsidRDefault="00B3736B">
      <w:pPr>
        <w:pStyle w:val="Listeafsnit"/>
        <w:numPr>
          <w:ilvl w:val="0"/>
          <w:numId w:val="25"/>
        </w:numPr>
        <w:jc w:val="both"/>
      </w:pPr>
      <w:r>
        <w:t xml:space="preserve">Drift af vagtordning </w:t>
      </w:r>
    </w:p>
    <w:p w:rsidR="00457807" w:rsidP="00457807" w:rsidRDefault="00457807">
      <w:pPr>
        <w:pStyle w:val="Listeafsnit"/>
        <w:numPr>
          <w:ilvl w:val="0"/>
          <w:numId w:val="25"/>
        </w:numPr>
        <w:jc w:val="both"/>
      </w:pPr>
      <w:r w:rsidRPr="00457807">
        <w:t xml:space="preserve">Drift af olieudskillere   </w:t>
      </w:r>
    </w:p>
    <w:p w:rsidR="00AE1521" w:rsidP="00457807" w:rsidRDefault="002F6F86">
      <w:pPr>
        <w:pStyle w:val="Listeafsnit"/>
        <w:numPr>
          <w:ilvl w:val="0"/>
          <w:numId w:val="25"/>
        </w:numPr>
        <w:jc w:val="both"/>
      </w:pPr>
      <w:r>
        <w:t xml:space="preserve">Leje af </w:t>
      </w:r>
      <w:r w:rsidR="005B304B">
        <w:t>areal til regnvands</w:t>
      </w:r>
      <w:r>
        <w:t>bassiner</w:t>
      </w:r>
    </w:p>
    <w:p w:rsidR="002F6F86" w:rsidP="00457807" w:rsidRDefault="002F6F86">
      <w:pPr>
        <w:pStyle w:val="Listeafsnit"/>
        <w:numPr>
          <w:ilvl w:val="0"/>
          <w:numId w:val="25"/>
        </w:numPr>
        <w:jc w:val="both"/>
      </w:pPr>
      <w:r>
        <w:t>Leje af bygninger og grunde</w:t>
      </w:r>
    </w:p>
    <w:p w:rsidR="00457807" w:rsidP="00AE1521" w:rsidRDefault="00457807">
      <w:pPr>
        <w:jc w:val="both"/>
      </w:pPr>
    </w:p>
    <w:p w:rsidRPr="004B1173" w:rsidR="00AE1521" w:rsidP="00AE1521" w:rsidRDefault="00457807">
      <w:pPr>
        <w:jc w:val="both"/>
        <w:rPr>
          <w:i/>
        </w:rPr>
      </w:pPr>
      <w:r>
        <w:rPr>
          <w:i/>
        </w:rPr>
        <w:t xml:space="preserve">Drift af </w:t>
      </w:r>
      <w:r w:rsidR="00B3736B">
        <w:rPr>
          <w:i/>
        </w:rPr>
        <w:t>vagtordning</w:t>
      </w:r>
    </w:p>
    <w:p w:rsidR="00AE1521" w:rsidP="00AE1521" w:rsidRDefault="008A6C50">
      <w:pPr>
        <w:jc w:val="both"/>
      </w:pPr>
      <w:r>
        <w:t xml:space="preserve">Selskabet oplyser i indberetningen samt i mail af den </w:t>
      </w:r>
      <w:r w:rsidR="000B60DD">
        <w:t xml:space="preserve">24. maj og </w:t>
      </w:r>
      <w:r>
        <w:t>24. juni 2013, at der i Havebyerne i den nordlige del af Glostrup er dårlig separ</w:t>
      </w:r>
      <w:r>
        <w:t>e</w:t>
      </w:r>
      <w:r>
        <w:t>ring af regnvand. For at undgå oversv</w:t>
      </w:r>
      <w:r w:rsidR="00B3736B">
        <w:t>ømmelse af lavtliggende områder</w:t>
      </w:r>
      <w:r>
        <w:t xml:space="preserve"> er der etableret et sæt manuelt betjente spjæld, som i perioder med regn gør det muligt at begrænse tilstrømningen til kloaknettet fra Havebyerne. For at drive disse spjæld er der etableret et vagtberedskab, idet spjældene manuelt skal lukkes og åbnes ved regn.</w:t>
      </w:r>
    </w:p>
    <w:p w:rsidR="008A6C50" w:rsidP="00AE1521" w:rsidRDefault="008A6C50">
      <w:pPr>
        <w:jc w:val="both"/>
      </w:pPr>
    </w:p>
    <w:p w:rsidR="008A6C50" w:rsidP="00AE1521" w:rsidRDefault="008A6C50">
      <w:pPr>
        <w:jc w:val="both"/>
      </w:pPr>
      <w:r>
        <w:t xml:space="preserve">Selskabet angiver, at omkostningerne til vagtordningen i 2012 udgør 117.670 kr. </w:t>
      </w:r>
    </w:p>
    <w:p w:rsidR="008A6C50" w:rsidP="00AE1521" w:rsidRDefault="008A6C50">
      <w:pPr>
        <w:jc w:val="both"/>
      </w:pPr>
    </w:p>
    <w:p w:rsidR="008A6C50" w:rsidP="00AE1521" w:rsidRDefault="008A6C50">
      <w:pPr>
        <w:jc w:val="both"/>
      </w:pPr>
      <w:r>
        <w:t>Forsyningssekretariatet bemærker, at et selskab kan få godkendt et sæ</w:t>
      </w:r>
      <w:r>
        <w:t>r</w:t>
      </w:r>
      <w:r>
        <w:t>ligt forhold, hvis selskabet har en aktivitet</w:t>
      </w:r>
      <w:r w:rsidR="00D23A4B">
        <w:t>,</w:t>
      </w:r>
      <w:r>
        <w:t xml:space="preserve"> som ikke er beskrevet af benchmarkingmodellen, og som udgør en rammebetingelse. Det er Fo</w:t>
      </w:r>
      <w:r>
        <w:t>r</w:t>
      </w:r>
      <w:r>
        <w:t>syningssekretariatets vurdering, at driften af spjæld</w:t>
      </w:r>
      <w:r w:rsidR="00D23A4B">
        <w:t>et</w:t>
      </w:r>
      <w:r>
        <w:t xml:space="preserve"> stammer fra en rammebetingelse, da de er nødvendige for at undgå oversvømmelse i o</w:t>
      </w:r>
      <w:r>
        <w:t>m</w:t>
      </w:r>
      <w:r>
        <w:t>rådet. Yderligere er spjæld</w:t>
      </w:r>
      <w:r w:rsidR="00D23A4B">
        <w:t>et</w:t>
      </w:r>
      <w:r>
        <w:t xml:space="preserve"> ikke en del af benchmarkingmodellen.</w:t>
      </w:r>
    </w:p>
    <w:p w:rsidR="008A6C50" w:rsidP="00AE1521" w:rsidRDefault="008A6C50">
      <w:pPr>
        <w:jc w:val="both"/>
      </w:pPr>
    </w:p>
    <w:p w:rsidR="008A6C50" w:rsidP="00AE1521" w:rsidRDefault="008A6C50">
      <w:pPr>
        <w:jc w:val="both"/>
      </w:pPr>
      <w:r>
        <w:t>På baggrund af ovenstående vurderer Forsyningssekretariatet, at vag</w:t>
      </w:r>
      <w:r>
        <w:t>t</w:t>
      </w:r>
      <w:r>
        <w:t>ordningen til spjæld</w:t>
      </w:r>
      <w:r w:rsidR="00D23A4B">
        <w:t>et</w:t>
      </w:r>
      <w:r>
        <w:t xml:space="preserve"> er et særligt forhold. Forsyningssekretariatet har derfor forøget selskabets netvolumenmål med 117.670 kr. </w:t>
      </w:r>
    </w:p>
    <w:p w:rsidR="00AE1521" w:rsidP="00AE1521" w:rsidRDefault="00AE1521">
      <w:pPr>
        <w:jc w:val="both"/>
      </w:pPr>
    </w:p>
    <w:p w:rsidRPr="004B1173" w:rsidR="00AE1521" w:rsidP="00AE1521" w:rsidRDefault="00457807">
      <w:pPr>
        <w:jc w:val="both"/>
        <w:rPr>
          <w:i/>
        </w:rPr>
      </w:pPr>
      <w:r>
        <w:rPr>
          <w:i/>
        </w:rPr>
        <w:t xml:space="preserve">Drift af olieudskillere </w:t>
      </w:r>
    </w:p>
    <w:p w:rsidR="00AE1521" w:rsidP="00AE1521" w:rsidRDefault="000B60DD">
      <w:pPr>
        <w:jc w:val="both"/>
      </w:pPr>
      <w:r>
        <w:t>Selskabet oplyser i indberetningen samt i mail 24. maj og 24. juni 2013, at ca. 40 pct. af kloake</w:t>
      </w:r>
      <w:r w:rsidR="009A1018">
        <w:t>ringen er separeret i Glostrup K</w:t>
      </w:r>
      <w:r>
        <w:t>ommune. Selsk</w:t>
      </w:r>
      <w:r>
        <w:t>a</w:t>
      </w:r>
      <w:r>
        <w:t>bet udleder derfor regnvand til søer og vandløb</w:t>
      </w:r>
      <w:r w:rsidR="009A1018">
        <w:t xml:space="preserve"> i området. Selskabet er i den</w:t>
      </w:r>
      <w:r>
        <w:t xml:space="preserve"> forbindelse blevet pålagt at etablere og drive 10 olieudskillere. Dri</w:t>
      </w:r>
      <w:r>
        <w:t>f</w:t>
      </w:r>
      <w:r>
        <w:t>ten indebærer 1-2 årlige rensninger og tømninger og deponering af o</w:t>
      </w:r>
      <w:r>
        <w:t>p</w:t>
      </w:r>
      <w:r>
        <w:t xml:space="preserve">samlet slam og sand. </w:t>
      </w:r>
    </w:p>
    <w:p w:rsidR="000B60DD" w:rsidP="00AE1521" w:rsidRDefault="000B60DD">
      <w:pPr>
        <w:jc w:val="both"/>
      </w:pPr>
    </w:p>
    <w:p w:rsidR="000B60DD" w:rsidP="00AE1521" w:rsidRDefault="000B60DD">
      <w:pPr>
        <w:jc w:val="both"/>
      </w:pPr>
      <w:r>
        <w:t>Selskabet angiver, at omkostningerne til drift af olieudskillere udgør 224.595 kr., hvilket selskabet også har dokumenteret eller godtgjort i a</w:t>
      </w:r>
      <w:r>
        <w:t>n</w:t>
      </w:r>
      <w:r>
        <w:t>søgningen.</w:t>
      </w:r>
    </w:p>
    <w:p w:rsidR="000B60DD" w:rsidP="00AE1521" w:rsidRDefault="000B60DD">
      <w:pPr>
        <w:jc w:val="both"/>
      </w:pPr>
    </w:p>
    <w:p w:rsidR="000B60DD" w:rsidP="00AE1521" w:rsidRDefault="000B60DD">
      <w:pPr>
        <w:jc w:val="both"/>
      </w:pPr>
      <w:r>
        <w:t xml:space="preserve">Forsyningssekretariatet bemærker, at selskabet får renset spildevand hos Spildevandsventer Avedøre. Selskabet </w:t>
      </w:r>
      <w:r w:rsidR="009A1018">
        <w:t>modtager</w:t>
      </w:r>
      <w:r>
        <w:t xml:space="preserve"> derfor ikke noget netv</w:t>
      </w:r>
      <w:r>
        <w:t>o</w:t>
      </w:r>
      <w:r>
        <w:t>lumenbidrag fra costdriveren ”renseanlæg”</w:t>
      </w:r>
      <w:r w:rsidR="009A1018">
        <w:t xml:space="preserve">, som </w:t>
      </w:r>
      <w:r>
        <w:t xml:space="preserve">olieudskillere </w:t>
      </w:r>
      <w:r w:rsidR="009A1018">
        <w:t xml:space="preserve">normalt er </w:t>
      </w:r>
      <w:r>
        <w:t xml:space="preserve">en del af. </w:t>
      </w:r>
    </w:p>
    <w:p w:rsidR="000B60DD" w:rsidP="00AE1521" w:rsidRDefault="000B60DD">
      <w:pPr>
        <w:jc w:val="both"/>
      </w:pPr>
    </w:p>
    <w:p w:rsidR="000B60DD" w:rsidP="00AE1521" w:rsidRDefault="000B60DD">
      <w:pPr>
        <w:jc w:val="both"/>
      </w:pPr>
      <w:r>
        <w:lastRenderedPageBreak/>
        <w:t>Det er på baggrund af ovenstående Forsyningssekretariatets vurdering</w:t>
      </w:r>
      <w:r w:rsidR="009A1018">
        <w:t>,</w:t>
      </w:r>
      <w:r>
        <w:t xml:space="preserve"> at drift af olieudskillere er et særligt forhold for </w:t>
      </w:r>
      <w:r w:rsidR="009A1018">
        <w:t>selskabet</w:t>
      </w:r>
      <w:r>
        <w:t>. Forsyningssekr</w:t>
      </w:r>
      <w:r>
        <w:t>e</w:t>
      </w:r>
      <w:r>
        <w:t xml:space="preserve">tariatet har derfor forøget selskabets netvolumenmål med 224.595 kr. </w:t>
      </w:r>
    </w:p>
    <w:p w:rsidR="00AE1521" w:rsidP="00AE1521" w:rsidRDefault="00AE1521">
      <w:pPr>
        <w:jc w:val="both"/>
      </w:pPr>
    </w:p>
    <w:p w:rsidR="00457807" w:rsidP="00AE1521" w:rsidRDefault="00457807">
      <w:pPr>
        <w:jc w:val="both"/>
        <w:rPr>
          <w:i/>
        </w:rPr>
      </w:pPr>
      <w:r w:rsidRPr="00C12E03">
        <w:rPr>
          <w:i/>
        </w:rPr>
        <w:t xml:space="preserve">Leje af </w:t>
      </w:r>
      <w:r w:rsidRPr="00C12E03" w:rsidR="005B304B">
        <w:rPr>
          <w:i/>
        </w:rPr>
        <w:t>areal til regnvandsb</w:t>
      </w:r>
      <w:r w:rsidRPr="00C12E03">
        <w:rPr>
          <w:i/>
        </w:rPr>
        <w:t>assin</w:t>
      </w:r>
      <w:r w:rsidRPr="00C12E03" w:rsidR="0056378E">
        <w:rPr>
          <w:i/>
        </w:rPr>
        <w:t>er</w:t>
      </w:r>
    </w:p>
    <w:p w:rsidR="0056378E" w:rsidP="00AE1521" w:rsidRDefault="0056378E">
      <w:pPr>
        <w:jc w:val="both"/>
      </w:pPr>
      <w:r>
        <w:t>Selskabet oplyser i indberetningen, at det efter udskillelsen fra Glostrup Kommune ikke har fået overdraget regnvandsbassiner. Selskabet er de</w:t>
      </w:r>
      <w:r>
        <w:t>r</w:t>
      </w:r>
      <w:r>
        <w:t>for påla</w:t>
      </w:r>
      <w:r w:rsidR="00AA58A9">
        <w:t>gt at leje regnvandsbassinerne fra kommunen.</w:t>
      </w:r>
    </w:p>
    <w:p w:rsidR="0056378E" w:rsidP="00AE1521" w:rsidRDefault="0056378E">
      <w:pPr>
        <w:jc w:val="both"/>
      </w:pPr>
    </w:p>
    <w:p w:rsidR="0056378E" w:rsidP="00AE1521" w:rsidRDefault="0056378E">
      <w:pPr>
        <w:jc w:val="both"/>
      </w:pPr>
      <w:r>
        <w:t xml:space="preserve">Selskabet har opgjort omkostningerne til leje af bassiner til 102.290 kr. i 2012. </w:t>
      </w:r>
    </w:p>
    <w:p w:rsidR="0046309C" w:rsidP="00AE1521" w:rsidRDefault="0046309C">
      <w:pPr>
        <w:jc w:val="both"/>
      </w:pPr>
    </w:p>
    <w:p w:rsidRPr="0046309C" w:rsidR="0046309C" w:rsidP="00AE1521" w:rsidRDefault="0046309C">
      <w:pPr>
        <w:jc w:val="both"/>
      </w:pPr>
      <w:r>
        <w:t xml:space="preserve">I mail </w:t>
      </w:r>
      <w:r w:rsidRPr="00AA58A9">
        <w:rPr>
          <w:szCs w:val="24"/>
        </w:rPr>
        <w:t>den 15. august har selskabet skønnet grundværdien af de arealer, som det lejer af Glostrup Kommune. Grundværdien er skønnet af Sad</w:t>
      </w:r>
      <w:r w:rsidRPr="00AA58A9">
        <w:rPr>
          <w:szCs w:val="24"/>
        </w:rPr>
        <w:t>o</w:t>
      </w:r>
      <w:r w:rsidRPr="00AA58A9">
        <w:rPr>
          <w:szCs w:val="24"/>
        </w:rPr>
        <w:t>lin &amp; Albæk A/S (for Glostrup Kommune) i forbindelse med udskille</w:t>
      </w:r>
      <w:r w:rsidRPr="00AA58A9">
        <w:rPr>
          <w:szCs w:val="24"/>
        </w:rPr>
        <w:t>l</w:t>
      </w:r>
      <w:r w:rsidRPr="00AA58A9">
        <w:rPr>
          <w:szCs w:val="24"/>
        </w:rPr>
        <w:t xml:space="preserve">sen. </w:t>
      </w:r>
      <w:r w:rsidR="00AA58A9">
        <w:rPr>
          <w:szCs w:val="24"/>
        </w:rPr>
        <w:t>G</w:t>
      </w:r>
      <w:r w:rsidRPr="00AA58A9">
        <w:rPr>
          <w:szCs w:val="24"/>
        </w:rPr>
        <w:t>rundværdien af adresserne med regnvandsbassiner</w:t>
      </w:r>
      <w:r w:rsidR="00AA58A9">
        <w:rPr>
          <w:szCs w:val="24"/>
        </w:rPr>
        <w:t xml:space="preserve"> er vurderet</w:t>
      </w:r>
      <w:r w:rsidRPr="00AA58A9">
        <w:rPr>
          <w:szCs w:val="24"/>
        </w:rPr>
        <w:t xml:space="preserve"> til 50 kr. per m</w:t>
      </w:r>
      <w:r w:rsidRPr="00AA58A9">
        <w:rPr>
          <w:szCs w:val="24"/>
          <w:vertAlign w:val="superscript"/>
        </w:rPr>
        <w:t>2</w:t>
      </w:r>
      <w:r w:rsidRPr="00AA58A9">
        <w:rPr>
          <w:szCs w:val="24"/>
        </w:rPr>
        <w:t>. Selskabet har opgjort</w:t>
      </w:r>
      <w:r w:rsidR="00AA58A9">
        <w:rPr>
          <w:szCs w:val="24"/>
        </w:rPr>
        <w:t xml:space="preserve"> det lejede </w:t>
      </w:r>
      <w:r w:rsidRPr="00AA58A9">
        <w:rPr>
          <w:szCs w:val="24"/>
        </w:rPr>
        <w:t>areal til 22.192 m</w:t>
      </w:r>
      <w:r w:rsidRPr="00AA58A9">
        <w:rPr>
          <w:szCs w:val="24"/>
          <w:vertAlign w:val="superscript"/>
        </w:rPr>
        <w:t>2</w:t>
      </w:r>
      <w:r w:rsidRPr="00AA58A9">
        <w:rPr>
          <w:szCs w:val="24"/>
        </w:rPr>
        <w:t>.</w:t>
      </w:r>
    </w:p>
    <w:p w:rsidR="005B304B" w:rsidP="00AE1521" w:rsidRDefault="005B304B">
      <w:pPr>
        <w:jc w:val="both"/>
      </w:pPr>
    </w:p>
    <w:p w:rsidRPr="00B22EEC" w:rsidR="005B304B" w:rsidP="005B304B" w:rsidRDefault="005B304B">
      <w:pPr>
        <w:jc w:val="both"/>
      </w:pPr>
      <w:r w:rsidRPr="00B22EEC">
        <w:t>Ligesom ved behandlingen af prislofterne for 2012 og 2013, vurderer Forsyningssekretariatet, at selskaber, som lejer bygninger/grunde til brug for selskabets primære aktiviteter, ikke behandles på samme vilkår i pri</w:t>
      </w:r>
      <w:r w:rsidRPr="00B22EEC">
        <w:t>s</w:t>
      </w:r>
      <w:r w:rsidRPr="00B22EEC">
        <w:t xml:space="preserve">loftsreguleringen, som selskaber, der ejer sine bygninger/grunde. </w:t>
      </w:r>
    </w:p>
    <w:p w:rsidRPr="00B22EEC" w:rsidR="005B304B" w:rsidP="005B304B" w:rsidRDefault="005B304B">
      <w:pPr>
        <w:jc w:val="both"/>
      </w:pPr>
    </w:p>
    <w:p w:rsidRPr="00B22EEC" w:rsidR="005B304B" w:rsidP="005B304B" w:rsidRDefault="005B304B">
      <w:pPr>
        <w:jc w:val="both"/>
      </w:pPr>
      <w:r w:rsidRPr="00B22EEC">
        <w:t>Det bemærkes, at selskaberne i prisloft for 2012 og 2013, fik tillagt hele omkostningen til leje af bygninger/grunde til netvolumenmålet. Fors</w:t>
      </w:r>
      <w:r w:rsidRPr="00B22EEC">
        <w:t>y</w:t>
      </w:r>
      <w:r w:rsidRPr="00B22EEC">
        <w:t>ningssekretariatet har imidlertid vurderet dette på ny, for at sikre, at se</w:t>
      </w:r>
      <w:r w:rsidRPr="00B22EEC">
        <w:t>l</w:t>
      </w:r>
      <w:r w:rsidRPr="00B22EEC">
        <w:t>skaberne stilles så lige som muligt.</w:t>
      </w:r>
    </w:p>
    <w:p w:rsidRPr="00B22EEC" w:rsidR="005B304B" w:rsidP="005B304B" w:rsidRDefault="005B304B">
      <w:pPr>
        <w:jc w:val="both"/>
      </w:pPr>
    </w:p>
    <w:p w:rsidRPr="00B22EEC" w:rsidR="005B304B" w:rsidP="005B304B" w:rsidRDefault="005B304B">
      <w:pPr>
        <w:jc w:val="both"/>
      </w:pPr>
      <w:r w:rsidRPr="00B22EEC">
        <w:t>Selskaber, som ejer sine bygninger/grunde opnår tillæg til prisloftet for afskrivninger på bygninger (ej grunde) og eventuelle nettofinansielle omkostninger til bygninger/grunde. Selskaber, der udelukkende lejer bygninger/grunde opnår ikke tillæg, men må i stedet afholde driftso</w:t>
      </w:r>
      <w:r w:rsidRPr="00B22EEC">
        <w:t>m</w:t>
      </w:r>
      <w:r w:rsidRPr="00B22EEC">
        <w:t xml:space="preserve">kostninger hertil. </w:t>
      </w:r>
    </w:p>
    <w:p w:rsidRPr="00B22EEC" w:rsidR="005B304B" w:rsidP="005B304B" w:rsidRDefault="005B304B">
      <w:pPr>
        <w:jc w:val="both"/>
      </w:pPr>
    </w:p>
    <w:p w:rsidRPr="00B22EEC" w:rsidR="005B304B" w:rsidP="005B304B" w:rsidRDefault="005B304B">
      <w:pPr>
        <w:jc w:val="both"/>
      </w:pPr>
      <w:r w:rsidRPr="00B22EEC">
        <w:t>På den baggrund vurderer Forsyningssekretariatet, at tillægget til netv</w:t>
      </w:r>
      <w:r w:rsidRPr="00B22EEC">
        <w:t>o</w:t>
      </w:r>
      <w:r w:rsidRPr="00B22EEC">
        <w:t>lumenmålet bør svare til de omkostninger, selskabet ville have haft til a</w:t>
      </w:r>
      <w:r w:rsidRPr="00B22EEC">
        <w:t>f</w:t>
      </w:r>
      <w:r w:rsidRPr="00B22EEC">
        <w:t>skrivninger og finansiering, såfremt selskabet havde ejet bygni</w:t>
      </w:r>
      <w:r w:rsidRPr="00B22EEC">
        <w:t>n</w:t>
      </w:r>
      <w:r w:rsidRPr="00B22EEC">
        <w:t xml:space="preserve">ger/grunde. </w:t>
      </w:r>
    </w:p>
    <w:p w:rsidRPr="00B22EEC" w:rsidR="005B304B" w:rsidP="005B304B" w:rsidRDefault="005B304B">
      <w:pPr>
        <w:jc w:val="both"/>
      </w:pPr>
    </w:p>
    <w:p w:rsidR="005B304B" w:rsidP="005B304B" w:rsidRDefault="005B304B">
      <w:pPr>
        <w:jc w:val="both"/>
      </w:pPr>
      <w:r w:rsidRPr="00B22EEC">
        <w:t>Tillægget baseres på de af selskabet oplyste værdier for bygni</w:t>
      </w:r>
      <w:r w:rsidRPr="00B22EEC">
        <w:t>n</w:t>
      </w:r>
      <w:r w:rsidRPr="00B22EEC">
        <w:t>ger/grunde samt årstal for opførsel/anskaffelse. Ud fra disse oplysninger beregnes de årlige afskrivninger samt finansielle omkostninger, som ti</w:t>
      </w:r>
      <w:r w:rsidRPr="00B22EEC">
        <w:t>l</w:t>
      </w:r>
      <w:r w:rsidRPr="00B22EEC">
        <w:t>lægges netvolumenmålet, hvorved selskabet kompenseres for lejeforho</w:t>
      </w:r>
      <w:r w:rsidRPr="00B22EEC">
        <w:t>l</w:t>
      </w:r>
      <w:r w:rsidRPr="00B22EEC">
        <w:t>det. Nedenstående tabel viser de af selskabet oplyste værdier vedrørende leje af bygninger/grunde, samt hvorledes tillægget er opgjort.</w:t>
      </w:r>
    </w:p>
    <w:p w:rsidR="005B304B" w:rsidP="00AE1521" w:rsidRDefault="005B304B">
      <w:pPr>
        <w:jc w:val="both"/>
      </w:pPr>
    </w:p>
    <w:p w:rsidR="003D3E7A" w:rsidP="00AE1521" w:rsidRDefault="003D3E7A">
      <w:pPr>
        <w:jc w:val="both"/>
      </w:pPr>
    </w:p>
    <w:p w:rsidR="003D3E7A" w:rsidP="00AE1521" w:rsidRDefault="003D3E7A">
      <w:pPr>
        <w:jc w:val="both"/>
      </w:pPr>
    </w:p>
    <w:p w:rsidR="003D3E7A" w:rsidP="00AE1521" w:rsidRDefault="003D3E7A">
      <w:pPr>
        <w:jc w:val="both"/>
      </w:pPr>
    </w:p>
    <w:tbl>
      <w:tblPr>
        <w:tblStyle w:val="Tabel-Gitter"/>
        <w:tblW w:w="0" w:type="auto"/>
        <w:tblInd w:w="392" w:type="dxa"/>
        <w:tblLook w:val="04A0" w:firstRow="1" w:lastRow="0" w:firstColumn="1" w:lastColumn="0" w:noHBand="0" w:noVBand="1"/>
      </w:tblPr>
      <w:tblGrid>
        <w:gridCol w:w="4961"/>
        <w:gridCol w:w="1165"/>
        <w:gridCol w:w="570"/>
      </w:tblGrid>
      <w:tr w:rsidRPr="002E74CE" w:rsidR="005B304B" w:rsidTr="005B304B">
        <w:tc>
          <w:tcPr>
            <w:tcW w:w="4961" w:type="dxa"/>
            <w:shd w:val="clear" w:color="auto" w:fill="000000" w:themeFill="text1"/>
          </w:tcPr>
          <w:p w:rsidRPr="00467870" w:rsidR="005B304B" w:rsidP="005B304B" w:rsidRDefault="005B304B">
            <w:pPr>
              <w:jc w:val="both"/>
              <w:rPr>
                <w:b/>
                <w:color w:val="FFFFFF" w:themeColor="background1"/>
                <w:sz w:val="20"/>
              </w:rPr>
            </w:pPr>
            <w:r w:rsidRPr="00467870">
              <w:rPr>
                <w:b/>
                <w:color w:val="FFFFFF" w:themeColor="background1"/>
                <w:sz w:val="20"/>
              </w:rPr>
              <w:lastRenderedPageBreak/>
              <w:t>Særlige forhold for leje af grunde</w:t>
            </w:r>
          </w:p>
        </w:tc>
        <w:tc>
          <w:tcPr>
            <w:tcW w:w="1165" w:type="dxa"/>
            <w:tcBorders>
              <w:bottom w:val="single" w:color="auto" w:sz="4" w:space="0"/>
            </w:tcBorders>
            <w:shd w:val="clear" w:color="auto" w:fill="000000" w:themeFill="text1"/>
          </w:tcPr>
          <w:p w:rsidRPr="00467870" w:rsidR="005B304B" w:rsidP="005B304B" w:rsidRDefault="005B304B">
            <w:pPr>
              <w:jc w:val="both"/>
              <w:rPr>
                <w:color w:val="FFFFFF" w:themeColor="background1"/>
                <w:sz w:val="20"/>
              </w:rPr>
            </w:pPr>
          </w:p>
        </w:tc>
        <w:tc>
          <w:tcPr>
            <w:tcW w:w="570" w:type="dxa"/>
            <w:tcBorders>
              <w:bottom w:val="single" w:color="auto" w:sz="4" w:space="0"/>
            </w:tcBorders>
            <w:shd w:val="clear" w:color="auto" w:fill="000000" w:themeFill="text1"/>
          </w:tcPr>
          <w:p w:rsidRPr="00467870" w:rsidR="005B304B" w:rsidP="005B304B" w:rsidRDefault="005B304B">
            <w:pPr>
              <w:jc w:val="both"/>
              <w:rPr>
                <w:color w:val="FFFFFF" w:themeColor="background1"/>
                <w:sz w:val="20"/>
              </w:rPr>
            </w:pPr>
          </w:p>
        </w:tc>
      </w:tr>
      <w:tr w:rsidRPr="002E74CE" w:rsidR="005B304B" w:rsidTr="005B304B">
        <w:tc>
          <w:tcPr>
            <w:tcW w:w="4961" w:type="dxa"/>
            <w:tcBorders>
              <w:bottom w:val="nil"/>
              <w:right w:val="nil"/>
            </w:tcBorders>
          </w:tcPr>
          <w:p w:rsidRPr="002E74CE" w:rsidR="005B304B" w:rsidP="005B304B" w:rsidRDefault="005B304B">
            <w:pPr>
              <w:jc w:val="both"/>
              <w:rPr>
                <w:b/>
                <w:sz w:val="20"/>
              </w:rPr>
            </w:pPr>
            <w:r w:rsidRPr="002E74CE">
              <w:rPr>
                <w:b/>
                <w:sz w:val="20"/>
              </w:rPr>
              <w:t>Renteomkostninger</w:t>
            </w:r>
          </w:p>
        </w:tc>
        <w:tc>
          <w:tcPr>
            <w:tcW w:w="1165" w:type="dxa"/>
            <w:tcBorders>
              <w:left w:val="nil"/>
              <w:bottom w:val="nil"/>
              <w:right w:val="nil"/>
            </w:tcBorders>
          </w:tcPr>
          <w:p w:rsidRPr="002E74CE" w:rsidR="005B304B" w:rsidP="005B304B" w:rsidRDefault="005B304B">
            <w:pPr>
              <w:jc w:val="both"/>
              <w:rPr>
                <w:sz w:val="20"/>
              </w:rPr>
            </w:pPr>
          </w:p>
        </w:tc>
        <w:tc>
          <w:tcPr>
            <w:tcW w:w="570" w:type="dxa"/>
            <w:tcBorders>
              <w:left w:val="nil"/>
              <w:bottom w:val="nil"/>
            </w:tcBorders>
          </w:tcPr>
          <w:p w:rsidRPr="002E74CE" w:rsidR="005B304B" w:rsidP="005B304B" w:rsidRDefault="005B304B">
            <w:pPr>
              <w:jc w:val="both"/>
              <w:rPr>
                <w:sz w:val="20"/>
              </w:rPr>
            </w:pPr>
          </w:p>
        </w:tc>
      </w:tr>
      <w:tr w:rsidRPr="002E74CE" w:rsidR="005B304B" w:rsidTr="005B304B">
        <w:tc>
          <w:tcPr>
            <w:tcW w:w="4961" w:type="dxa"/>
            <w:tcBorders>
              <w:top w:val="nil"/>
              <w:right w:val="nil"/>
            </w:tcBorders>
          </w:tcPr>
          <w:p w:rsidRPr="002E74CE" w:rsidR="005B304B" w:rsidP="005B304B" w:rsidRDefault="005B304B">
            <w:pPr>
              <w:jc w:val="both"/>
              <w:rPr>
                <w:sz w:val="20"/>
              </w:rPr>
            </w:pPr>
            <w:r>
              <w:rPr>
                <w:sz w:val="20"/>
              </w:rPr>
              <w:t>Grunde</w:t>
            </w:r>
            <w:r w:rsidRPr="002E74CE">
              <w:rPr>
                <w:sz w:val="20"/>
              </w:rPr>
              <w:t>:</w:t>
            </w:r>
          </w:p>
        </w:tc>
        <w:tc>
          <w:tcPr>
            <w:tcW w:w="1165" w:type="dxa"/>
            <w:tcBorders>
              <w:top w:val="nil"/>
              <w:left w:val="nil"/>
              <w:right w:val="nil"/>
            </w:tcBorders>
          </w:tcPr>
          <w:p w:rsidRPr="002E74CE" w:rsidR="005B304B" w:rsidP="005B304B" w:rsidRDefault="005B304B">
            <w:pPr>
              <w:jc w:val="both"/>
              <w:rPr>
                <w:sz w:val="20"/>
              </w:rPr>
            </w:pPr>
          </w:p>
        </w:tc>
        <w:tc>
          <w:tcPr>
            <w:tcW w:w="570" w:type="dxa"/>
            <w:tcBorders>
              <w:top w:val="nil"/>
              <w:left w:val="nil"/>
            </w:tcBorders>
          </w:tcPr>
          <w:p w:rsidRPr="002E74CE" w:rsidR="005B304B" w:rsidP="005B304B" w:rsidRDefault="005B304B">
            <w:pPr>
              <w:jc w:val="both"/>
              <w:rPr>
                <w:sz w:val="20"/>
              </w:rPr>
            </w:pPr>
          </w:p>
        </w:tc>
      </w:tr>
      <w:tr w:rsidRPr="002E74CE" w:rsidR="005B304B" w:rsidTr="005B304B">
        <w:trPr>
          <w:trHeight w:val="460"/>
        </w:trPr>
        <w:tc>
          <w:tcPr>
            <w:tcW w:w="4961" w:type="dxa"/>
          </w:tcPr>
          <w:p w:rsidRPr="002E74CE" w:rsidR="005B304B" w:rsidP="005B304B" w:rsidRDefault="005B304B">
            <w:pPr>
              <w:jc w:val="both"/>
              <w:rPr>
                <w:sz w:val="20"/>
              </w:rPr>
            </w:pPr>
            <w:r>
              <w:rPr>
                <w:sz w:val="20"/>
              </w:rPr>
              <w:t>Skønnet grund</w:t>
            </w:r>
            <w:r w:rsidRPr="002E74CE">
              <w:rPr>
                <w:sz w:val="20"/>
              </w:rPr>
              <w:t>værdi</w:t>
            </w:r>
            <w:r>
              <w:rPr>
                <w:sz w:val="20"/>
              </w:rPr>
              <w:t xml:space="preserve"> af lejet areal til: Regnvandsbassiner</w:t>
            </w:r>
          </w:p>
        </w:tc>
        <w:tc>
          <w:tcPr>
            <w:tcW w:w="1165" w:type="dxa"/>
            <w:tcBorders>
              <w:right w:val="nil"/>
            </w:tcBorders>
          </w:tcPr>
          <w:p w:rsidRPr="00A4089F" w:rsidR="005B304B" w:rsidP="00C12E03" w:rsidRDefault="005B304B">
            <w:pPr>
              <w:jc w:val="right"/>
              <w:rPr>
                <w:sz w:val="20"/>
              </w:rPr>
            </w:pPr>
            <w:r w:rsidRPr="0086514A">
              <w:rPr>
                <w:sz w:val="20"/>
              </w:rPr>
              <w:t>1.</w:t>
            </w:r>
            <w:r w:rsidR="00C12E03">
              <w:rPr>
                <w:sz w:val="20"/>
              </w:rPr>
              <w:t>109</w:t>
            </w:r>
            <w:r w:rsidRPr="0086514A">
              <w:rPr>
                <w:sz w:val="20"/>
              </w:rPr>
              <w:t>.</w:t>
            </w:r>
            <w:r w:rsidR="00C12E03">
              <w:rPr>
                <w:sz w:val="20"/>
              </w:rPr>
              <w:t>590</w:t>
            </w:r>
          </w:p>
        </w:tc>
        <w:tc>
          <w:tcPr>
            <w:tcW w:w="570" w:type="dxa"/>
            <w:tcBorders>
              <w:left w:val="nil"/>
            </w:tcBorders>
          </w:tcPr>
          <w:p w:rsidRPr="002E74CE" w:rsidR="005B304B" w:rsidP="005B304B" w:rsidRDefault="005B304B">
            <w:pPr>
              <w:jc w:val="both"/>
              <w:rPr>
                <w:sz w:val="20"/>
              </w:rPr>
            </w:pPr>
            <w:r w:rsidRPr="002E74CE">
              <w:rPr>
                <w:sz w:val="20"/>
              </w:rPr>
              <w:t>kr.</w:t>
            </w:r>
          </w:p>
        </w:tc>
      </w:tr>
      <w:tr w:rsidRPr="002E74CE" w:rsidR="005B304B" w:rsidTr="005B304B">
        <w:tc>
          <w:tcPr>
            <w:tcW w:w="4961" w:type="dxa"/>
          </w:tcPr>
          <w:p w:rsidRPr="002E74CE" w:rsidR="005B304B" w:rsidP="005B304B" w:rsidRDefault="005B304B">
            <w:pPr>
              <w:jc w:val="both"/>
              <w:rPr>
                <w:sz w:val="20"/>
              </w:rPr>
            </w:pPr>
            <w:r w:rsidRPr="002E74CE">
              <w:rPr>
                <w:sz w:val="20"/>
              </w:rPr>
              <w:t>Rente</w:t>
            </w:r>
          </w:p>
        </w:tc>
        <w:tc>
          <w:tcPr>
            <w:tcW w:w="1165" w:type="dxa"/>
            <w:tcBorders>
              <w:right w:val="nil"/>
            </w:tcBorders>
          </w:tcPr>
          <w:p w:rsidRPr="00A4089F" w:rsidR="005B304B" w:rsidP="005B304B" w:rsidRDefault="005B304B">
            <w:pPr>
              <w:jc w:val="right"/>
              <w:rPr>
                <w:sz w:val="20"/>
              </w:rPr>
            </w:pPr>
            <w:r w:rsidRPr="00A4089F">
              <w:rPr>
                <w:sz w:val="20"/>
              </w:rPr>
              <w:t>4</w:t>
            </w:r>
          </w:p>
        </w:tc>
        <w:tc>
          <w:tcPr>
            <w:tcW w:w="570" w:type="dxa"/>
            <w:tcBorders>
              <w:left w:val="nil"/>
            </w:tcBorders>
          </w:tcPr>
          <w:p w:rsidRPr="002E74CE" w:rsidR="005B304B" w:rsidP="005B304B" w:rsidRDefault="005B304B">
            <w:pPr>
              <w:jc w:val="both"/>
              <w:rPr>
                <w:sz w:val="20"/>
              </w:rPr>
            </w:pPr>
            <w:r w:rsidRPr="002E74CE">
              <w:rPr>
                <w:sz w:val="20"/>
              </w:rPr>
              <w:t>pct.</w:t>
            </w:r>
          </w:p>
        </w:tc>
      </w:tr>
      <w:tr w:rsidRPr="002E74CE" w:rsidR="005B304B" w:rsidTr="005B304B">
        <w:tc>
          <w:tcPr>
            <w:tcW w:w="4961" w:type="dxa"/>
            <w:shd w:val="clear" w:color="auto" w:fill="D9D9D9" w:themeFill="background1" w:themeFillShade="D9"/>
          </w:tcPr>
          <w:p w:rsidRPr="002E74CE" w:rsidR="005B304B" w:rsidP="005B304B" w:rsidRDefault="005B304B">
            <w:pPr>
              <w:jc w:val="both"/>
              <w:rPr>
                <w:sz w:val="20"/>
              </w:rPr>
            </w:pPr>
            <w:r w:rsidRPr="002E74CE">
              <w:rPr>
                <w:sz w:val="20"/>
              </w:rPr>
              <w:t xml:space="preserve">Tillæg for renteomkostninger til </w:t>
            </w:r>
            <w:r>
              <w:rPr>
                <w:sz w:val="20"/>
              </w:rPr>
              <w:t>grunde</w:t>
            </w:r>
          </w:p>
        </w:tc>
        <w:tc>
          <w:tcPr>
            <w:tcW w:w="1165" w:type="dxa"/>
            <w:tcBorders>
              <w:right w:val="nil"/>
            </w:tcBorders>
            <w:shd w:val="clear" w:color="auto" w:fill="D9D9D9" w:themeFill="background1" w:themeFillShade="D9"/>
          </w:tcPr>
          <w:p w:rsidRPr="00A4089F" w:rsidR="005B304B" w:rsidP="00C12E03" w:rsidRDefault="00C12E03">
            <w:pPr>
              <w:jc w:val="right"/>
              <w:rPr>
                <w:sz w:val="20"/>
              </w:rPr>
            </w:pPr>
            <w:r>
              <w:rPr>
                <w:sz w:val="20"/>
              </w:rPr>
              <w:t>44</w:t>
            </w:r>
            <w:r w:rsidRPr="0086514A" w:rsidR="005B304B">
              <w:rPr>
                <w:sz w:val="20"/>
              </w:rPr>
              <w:t>.3</w:t>
            </w:r>
            <w:r>
              <w:rPr>
                <w:sz w:val="20"/>
              </w:rPr>
              <w:t>84</w:t>
            </w:r>
          </w:p>
        </w:tc>
        <w:tc>
          <w:tcPr>
            <w:tcW w:w="570" w:type="dxa"/>
            <w:tcBorders>
              <w:left w:val="nil"/>
            </w:tcBorders>
            <w:shd w:val="clear" w:color="auto" w:fill="D9D9D9" w:themeFill="background1" w:themeFillShade="D9"/>
          </w:tcPr>
          <w:p w:rsidRPr="002E74CE" w:rsidR="005B304B" w:rsidP="005B304B" w:rsidRDefault="005B304B">
            <w:pPr>
              <w:jc w:val="both"/>
              <w:rPr>
                <w:sz w:val="20"/>
              </w:rPr>
            </w:pPr>
            <w:r w:rsidRPr="002E74CE">
              <w:rPr>
                <w:sz w:val="20"/>
              </w:rPr>
              <w:t>kr.</w:t>
            </w:r>
          </w:p>
        </w:tc>
      </w:tr>
      <w:tr w:rsidRPr="002E74CE" w:rsidR="005B304B" w:rsidTr="005B304B">
        <w:tc>
          <w:tcPr>
            <w:tcW w:w="4961" w:type="dxa"/>
            <w:shd w:val="clear" w:color="auto" w:fill="000000" w:themeFill="text1"/>
          </w:tcPr>
          <w:p w:rsidRPr="00467870" w:rsidR="005B304B" w:rsidP="005B304B" w:rsidRDefault="005B304B">
            <w:pPr>
              <w:jc w:val="both"/>
              <w:rPr>
                <w:b/>
                <w:color w:val="FFFFFF" w:themeColor="background1"/>
                <w:sz w:val="20"/>
              </w:rPr>
            </w:pPr>
            <w:r w:rsidRPr="00467870">
              <w:rPr>
                <w:b/>
                <w:color w:val="FFFFFF" w:themeColor="background1"/>
                <w:sz w:val="20"/>
              </w:rPr>
              <w:t>Samlet tillæg til netvolumenmålet</w:t>
            </w:r>
          </w:p>
        </w:tc>
        <w:tc>
          <w:tcPr>
            <w:tcW w:w="1165" w:type="dxa"/>
            <w:tcBorders>
              <w:right w:val="nil"/>
            </w:tcBorders>
            <w:shd w:val="clear" w:color="auto" w:fill="000000" w:themeFill="text1"/>
          </w:tcPr>
          <w:p w:rsidRPr="00A4089F" w:rsidR="005B304B" w:rsidP="00C12E03" w:rsidRDefault="00C12E03">
            <w:pPr>
              <w:jc w:val="right"/>
              <w:rPr>
                <w:b/>
                <w:color w:val="FFFFFF" w:themeColor="background1"/>
                <w:sz w:val="20"/>
              </w:rPr>
            </w:pPr>
            <w:r>
              <w:rPr>
                <w:b/>
                <w:color w:val="FFFFFF" w:themeColor="background1"/>
                <w:sz w:val="20"/>
              </w:rPr>
              <w:t>44</w:t>
            </w:r>
            <w:r w:rsidRPr="0086514A" w:rsidR="005B304B">
              <w:rPr>
                <w:b/>
                <w:color w:val="FFFFFF" w:themeColor="background1"/>
                <w:sz w:val="20"/>
              </w:rPr>
              <w:t>.</w:t>
            </w:r>
            <w:r>
              <w:rPr>
                <w:b/>
                <w:color w:val="FFFFFF" w:themeColor="background1"/>
                <w:sz w:val="20"/>
              </w:rPr>
              <w:t>384</w:t>
            </w:r>
          </w:p>
        </w:tc>
        <w:tc>
          <w:tcPr>
            <w:tcW w:w="570" w:type="dxa"/>
            <w:tcBorders>
              <w:left w:val="nil"/>
            </w:tcBorders>
            <w:shd w:val="clear" w:color="auto" w:fill="000000" w:themeFill="text1"/>
          </w:tcPr>
          <w:p w:rsidRPr="00467870" w:rsidR="005B304B" w:rsidP="005B304B" w:rsidRDefault="005B304B">
            <w:pPr>
              <w:jc w:val="both"/>
              <w:rPr>
                <w:color w:val="FFFFFF" w:themeColor="background1"/>
                <w:sz w:val="20"/>
              </w:rPr>
            </w:pPr>
            <w:r w:rsidRPr="00467870">
              <w:rPr>
                <w:color w:val="FFFFFF" w:themeColor="background1"/>
                <w:sz w:val="20"/>
              </w:rPr>
              <w:t>kr.</w:t>
            </w:r>
          </w:p>
        </w:tc>
      </w:tr>
    </w:tbl>
    <w:p w:rsidR="005B304B" w:rsidP="00AE1521" w:rsidRDefault="005B304B">
      <w:pPr>
        <w:jc w:val="both"/>
      </w:pPr>
      <w:r w:rsidRPr="00B22EEC">
        <w:rPr>
          <w:i/>
          <w:sz w:val="20"/>
        </w:rPr>
        <w:t>”Tillæg for renteomkostninger for bygninger/grunde” er beregnet som summen af ejendoms-/grundværdierne ganget med den respektive andel og renten.</w:t>
      </w:r>
    </w:p>
    <w:p w:rsidR="0056378E" w:rsidP="00AE1521" w:rsidRDefault="0056378E">
      <w:pPr>
        <w:jc w:val="both"/>
      </w:pPr>
    </w:p>
    <w:p w:rsidRPr="00CB6265" w:rsidR="005B304B" w:rsidP="005B304B" w:rsidRDefault="005B304B">
      <w:pPr>
        <w:jc w:val="both"/>
        <w:rPr>
          <w:szCs w:val="24"/>
        </w:rPr>
      </w:pPr>
      <w:r w:rsidRPr="00B22EEC">
        <w:rPr>
          <w:szCs w:val="24"/>
        </w:rPr>
        <w:t xml:space="preserve">Forsyningssekretariatet har derfor øget selskabets netvolumenmål med </w:t>
      </w:r>
      <w:r w:rsidR="00C12E03">
        <w:rPr>
          <w:szCs w:val="24"/>
        </w:rPr>
        <w:t>44</w:t>
      </w:r>
      <w:r w:rsidRPr="00B22EEC">
        <w:rPr>
          <w:szCs w:val="24"/>
        </w:rPr>
        <w:t>.</w:t>
      </w:r>
      <w:r w:rsidR="00C12E03">
        <w:rPr>
          <w:szCs w:val="24"/>
        </w:rPr>
        <w:t>384</w:t>
      </w:r>
      <w:r w:rsidRPr="00B22EEC">
        <w:rPr>
          <w:szCs w:val="24"/>
        </w:rPr>
        <w:t xml:space="preserve"> kr.</w:t>
      </w:r>
      <w:r w:rsidRPr="00CB6265">
        <w:rPr>
          <w:szCs w:val="24"/>
        </w:rPr>
        <w:t xml:space="preserve"> </w:t>
      </w:r>
    </w:p>
    <w:p w:rsidR="00F51728" w:rsidP="00AE1521" w:rsidRDefault="00F51728">
      <w:pPr>
        <w:jc w:val="both"/>
      </w:pPr>
    </w:p>
    <w:p w:rsidRPr="00B22EEC" w:rsidR="00F51728" w:rsidP="00AE1521" w:rsidRDefault="002F6F86">
      <w:pPr>
        <w:jc w:val="both"/>
        <w:rPr>
          <w:i/>
        </w:rPr>
      </w:pPr>
      <w:r w:rsidRPr="00B22EEC">
        <w:rPr>
          <w:i/>
        </w:rPr>
        <w:t xml:space="preserve">Leje af bygninger </w:t>
      </w:r>
    </w:p>
    <w:p w:rsidRPr="00B22EEC" w:rsidR="002F6F86" w:rsidP="002F6F86" w:rsidRDefault="002F6F86">
      <w:pPr>
        <w:jc w:val="both"/>
      </w:pPr>
      <w:r w:rsidRPr="00B22EEC">
        <w:t xml:space="preserve">Selskabet anfører i mail af den </w:t>
      </w:r>
      <w:r w:rsidR="005B304B">
        <w:t>14. august 2013</w:t>
      </w:r>
      <w:r w:rsidRPr="00B22EEC">
        <w:t>, at det har omkostninger til leje af bygninger/grunde.</w:t>
      </w:r>
    </w:p>
    <w:p w:rsidRPr="00B22EEC" w:rsidR="002F6F86" w:rsidP="002F6F86" w:rsidRDefault="002F6F86">
      <w:pPr>
        <w:jc w:val="both"/>
      </w:pPr>
    </w:p>
    <w:p w:rsidRPr="00B22EEC" w:rsidR="002F6F86" w:rsidP="002F6F86" w:rsidRDefault="002F6F86">
      <w:pPr>
        <w:jc w:val="both"/>
      </w:pPr>
      <w:r w:rsidRPr="00B22EEC">
        <w:t>Ligesom ved behandlingen af prislofterne for 2012 og 2013, vurderer Forsyningssekretariatet, at selskaber, som lejer bygninger/grunde til brug for selskabets primære aktiviteter, ikke behandles på samme vilkår i pri</w:t>
      </w:r>
      <w:r w:rsidRPr="00B22EEC">
        <w:t>s</w:t>
      </w:r>
      <w:r w:rsidRPr="00B22EEC">
        <w:t xml:space="preserve">loftsreguleringen, som selskaber, der ejer sine bygninger/grunde. </w:t>
      </w:r>
    </w:p>
    <w:p w:rsidRPr="00B22EEC" w:rsidR="002F6F86" w:rsidP="002F6F86" w:rsidRDefault="002F6F86">
      <w:pPr>
        <w:jc w:val="both"/>
      </w:pPr>
    </w:p>
    <w:p w:rsidRPr="00B22EEC" w:rsidR="002F6F86" w:rsidP="002F6F86" w:rsidRDefault="002F6F86">
      <w:pPr>
        <w:jc w:val="both"/>
      </w:pPr>
      <w:r w:rsidRPr="00B22EEC">
        <w:t>Det bemærkes, at selskaberne i prisloft for 2012 og 2013, fik tillagt hele omkostningen til leje af bygninger/grunde til netvolumenmålet. Fors</w:t>
      </w:r>
      <w:r w:rsidRPr="00B22EEC">
        <w:t>y</w:t>
      </w:r>
      <w:r w:rsidRPr="00B22EEC">
        <w:t>ningssekretariatet har imidlertid vurderet dette på ny, for at sikre, at se</w:t>
      </w:r>
      <w:r w:rsidRPr="00B22EEC">
        <w:t>l</w:t>
      </w:r>
      <w:r w:rsidRPr="00B22EEC">
        <w:t>skaberne stilles så lige som muligt.</w:t>
      </w:r>
    </w:p>
    <w:p w:rsidRPr="00B22EEC" w:rsidR="002F6F86" w:rsidP="002F6F86" w:rsidRDefault="002F6F86">
      <w:pPr>
        <w:jc w:val="both"/>
      </w:pPr>
    </w:p>
    <w:p w:rsidRPr="00B22EEC" w:rsidR="002F6F86" w:rsidP="002F6F86" w:rsidRDefault="002F6F86">
      <w:pPr>
        <w:jc w:val="both"/>
      </w:pPr>
      <w:r w:rsidRPr="00B22EEC">
        <w:t>Selskaber, som ejer sine bygninger/grunde opnår tillæg til prisloftet for afskrivninger på bygninger (ej grunde) og eventuelle nettofinansielle omkostninger til bygninger/grunde. Selskaber, der udelukkende lejer bygninger/grunde opnår ikke tillæg, men må i stedet afholde driftso</w:t>
      </w:r>
      <w:r w:rsidRPr="00B22EEC">
        <w:t>m</w:t>
      </w:r>
      <w:r w:rsidRPr="00B22EEC">
        <w:t xml:space="preserve">kostninger hertil. </w:t>
      </w:r>
    </w:p>
    <w:p w:rsidRPr="00B22EEC" w:rsidR="002F6F86" w:rsidP="002F6F86" w:rsidRDefault="002F6F86">
      <w:pPr>
        <w:jc w:val="both"/>
      </w:pPr>
    </w:p>
    <w:p w:rsidRPr="00B22EEC" w:rsidR="002F6F86" w:rsidP="002F6F86" w:rsidRDefault="002F6F86">
      <w:pPr>
        <w:jc w:val="both"/>
      </w:pPr>
      <w:r w:rsidRPr="00B22EEC">
        <w:t>På den baggrund vurderer Forsyningssekretariatet, at tillægget til netv</w:t>
      </w:r>
      <w:r w:rsidRPr="00B22EEC">
        <w:t>o</w:t>
      </w:r>
      <w:r w:rsidRPr="00B22EEC">
        <w:t>lumenmålet bør svare til de omkostninger, selskabet ville have haft til a</w:t>
      </w:r>
      <w:r w:rsidRPr="00B22EEC">
        <w:t>f</w:t>
      </w:r>
      <w:r w:rsidRPr="00B22EEC">
        <w:t>skrivninger og finansiering, såfremt selskabet havde ejet bygni</w:t>
      </w:r>
      <w:r w:rsidRPr="00B22EEC">
        <w:t>n</w:t>
      </w:r>
      <w:r w:rsidRPr="00B22EEC">
        <w:t xml:space="preserve">ger/grunde. </w:t>
      </w:r>
    </w:p>
    <w:p w:rsidRPr="00B22EEC" w:rsidR="002F6F86" w:rsidP="002F6F86" w:rsidRDefault="002F6F86">
      <w:pPr>
        <w:jc w:val="both"/>
      </w:pPr>
    </w:p>
    <w:p w:rsidRPr="001341AF" w:rsidR="001341AF" w:rsidP="001341AF" w:rsidRDefault="002F6F86">
      <w:pPr>
        <w:jc w:val="both"/>
        <w:rPr>
          <w:color w:val="000000"/>
          <w:szCs w:val="24"/>
        </w:rPr>
      </w:pPr>
      <w:r w:rsidRPr="00B22EEC">
        <w:t>Tillægget baseres på de af selskabet oplyste værdier for bygni</w:t>
      </w:r>
      <w:r w:rsidRPr="00B22EEC">
        <w:t>n</w:t>
      </w:r>
      <w:r w:rsidRPr="00B22EEC">
        <w:t>ger/grunde samt årstal for opførsel/anskaffelse. Ud fra disse oplysninger beregnes de årlige afskrivninger samt finansielle omkostninger, som ti</w:t>
      </w:r>
      <w:r w:rsidRPr="00B22EEC">
        <w:t>l</w:t>
      </w:r>
      <w:r w:rsidRPr="00B22EEC">
        <w:t>lægges netvolumenmålet, hvorved selskabet kompenseres for lejeforho</w:t>
      </w:r>
      <w:r w:rsidRPr="00B22EEC">
        <w:t>l</w:t>
      </w:r>
      <w:r w:rsidRPr="00B22EEC">
        <w:t>det.</w:t>
      </w:r>
      <w:r w:rsidR="001341AF">
        <w:t xml:space="preserve"> </w:t>
      </w:r>
      <w:r w:rsidRPr="001341AF" w:rsidR="001341AF">
        <w:rPr>
          <w:color w:val="000000"/>
          <w:szCs w:val="24"/>
        </w:rPr>
        <w:t xml:space="preserve">Selskabet kan læse mere om tillægget i bilag 5 til modellen. </w:t>
      </w:r>
    </w:p>
    <w:p w:rsidR="001341AF" w:rsidP="002F6F86" w:rsidRDefault="001341AF">
      <w:pPr>
        <w:jc w:val="both"/>
      </w:pPr>
    </w:p>
    <w:p w:rsidR="002F6F86" w:rsidP="002F6F86" w:rsidRDefault="002F6F86">
      <w:pPr>
        <w:jc w:val="both"/>
      </w:pPr>
      <w:r w:rsidRPr="00B22EEC">
        <w:t>Nedenstående tabel viser de af selskabet oplyste værdier vedrørende leje af bygninger/grunde, samt hvorledes tillægget er opgjort.</w:t>
      </w:r>
    </w:p>
    <w:p w:rsidR="00B22EEC" w:rsidP="002F6F86" w:rsidRDefault="00B22EEC">
      <w:pPr>
        <w:jc w:val="both"/>
      </w:pPr>
    </w:p>
    <w:p w:rsidR="007D4798" w:rsidP="002F6F86" w:rsidRDefault="007D4798">
      <w:pPr>
        <w:jc w:val="both"/>
      </w:pPr>
    </w:p>
    <w:tbl>
      <w:tblPr>
        <w:tblStyle w:val="Tabel-Gitter"/>
        <w:tblW w:w="0" w:type="auto"/>
        <w:tblInd w:w="392" w:type="dxa"/>
        <w:tblLook w:val="04A0" w:firstRow="1" w:lastRow="0" w:firstColumn="1" w:lastColumn="0" w:noHBand="0" w:noVBand="1"/>
      </w:tblPr>
      <w:tblGrid>
        <w:gridCol w:w="4536"/>
        <w:gridCol w:w="1590"/>
        <w:gridCol w:w="570"/>
      </w:tblGrid>
      <w:tr w:rsidRPr="002E74CE" w:rsidR="00B22EEC" w:rsidTr="005B304B">
        <w:tc>
          <w:tcPr>
            <w:tcW w:w="4536" w:type="dxa"/>
            <w:shd w:val="clear" w:color="auto" w:fill="000000" w:themeFill="text1"/>
          </w:tcPr>
          <w:p w:rsidRPr="00467870" w:rsidR="00B22EEC" w:rsidP="005B304B" w:rsidRDefault="00B22EEC">
            <w:pPr>
              <w:jc w:val="both"/>
              <w:rPr>
                <w:b/>
                <w:color w:val="FFFFFF" w:themeColor="background1"/>
                <w:sz w:val="20"/>
              </w:rPr>
            </w:pPr>
            <w:r w:rsidRPr="00467870">
              <w:rPr>
                <w:b/>
                <w:color w:val="FFFFFF" w:themeColor="background1"/>
                <w:sz w:val="20"/>
              </w:rPr>
              <w:lastRenderedPageBreak/>
              <w:t>Særlige forhold for leje af bygninger og grunde</w:t>
            </w:r>
          </w:p>
        </w:tc>
        <w:tc>
          <w:tcPr>
            <w:tcW w:w="1590" w:type="dxa"/>
            <w:tcBorders>
              <w:bottom w:val="single" w:color="auto" w:sz="4" w:space="0"/>
            </w:tcBorders>
            <w:shd w:val="clear" w:color="auto" w:fill="000000" w:themeFill="text1"/>
          </w:tcPr>
          <w:p w:rsidRPr="00467870" w:rsidR="00B22EEC" w:rsidP="005B304B" w:rsidRDefault="00B22EEC">
            <w:pPr>
              <w:jc w:val="both"/>
              <w:rPr>
                <w:color w:val="FFFFFF" w:themeColor="background1"/>
                <w:sz w:val="20"/>
              </w:rPr>
            </w:pPr>
          </w:p>
        </w:tc>
        <w:tc>
          <w:tcPr>
            <w:tcW w:w="570" w:type="dxa"/>
            <w:tcBorders>
              <w:bottom w:val="single" w:color="auto" w:sz="4" w:space="0"/>
            </w:tcBorders>
            <w:shd w:val="clear" w:color="auto" w:fill="000000" w:themeFill="text1"/>
          </w:tcPr>
          <w:p w:rsidRPr="00467870" w:rsidR="00B22EEC" w:rsidP="005B304B" w:rsidRDefault="00B22EEC">
            <w:pPr>
              <w:jc w:val="both"/>
              <w:rPr>
                <w:color w:val="FFFFFF" w:themeColor="background1"/>
                <w:sz w:val="20"/>
              </w:rPr>
            </w:pPr>
          </w:p>
        </w:tc>
      </w:tr>
      <w:tr w:rsidRPr="002E74CE" w:rsidR="00B22EEC" w:rsidTr="005B304B">
        <w:tc>
          <w:tcPr>
            <w:tcW w:w="4536" w:type="dxa"/>
            <w:tcBorders>
              <w:right w:val="nil"/>
            </w:tcBorders>
          </w:tcPr>
          <w:p w:rsidRPr="002E74CE" w:rsidR="00B22EEC" w:rsidP="005B304B" w:rsidRDefault="00B22EEC">
            <w:pPr>
              <w:jc w:val="both"/>
              <w:rPr>
                <w:sz w:val="20"/>
              </w:rPr>
            </w:pPr>
            <w:r w:rsidRPr="002E74CE">
              <w:rPr>
                <w:sz w:val="20"/>
              </w:rPr>
              <w:t>Bygninger:</w:t>
            </w:r>
          </w:p>
        </w:tc>
        <w:tc>
          <w:tcPr>
            <w:tcW w:w="1590" w:type="dxa"/>
            <w:tcBorders>
              <w:left w:val="nil"/>
              <w:right w:val="nil"/>
            </w:tcBorders>
          </w:tcPr>
          <w:p w:rsidRPr="002E74CE" w:rsidR="00B22EEC" w:rsidP="005B304B" w:rsidRDefault="00B22EEC">
            <w:pPr>
              <w:jc w:val="both"/>
              <w:rPr>
                <w:sz w:val="20"/>
              </w:rPr>
            </w:pPr>
          </w:p>
        </w:tc>
        <w:tc>
          <w:tcPr>
            <w:tcW w:w="570" w:type="dxa"/>
            <w:tcBorders>
              <w:left w:val="nil"/>
              <w:bottom w:val="single" w:color="auto" w:sz="4" w:space="0"/>
            </w:tcBorders>
          </w:tcPr>
          <w:p w:rsidRPr="002E74CE" w:rsidR="00B22EEC" w:rsidP="005B304B" w:rsidRDefault="00B22EEC">
            <w:pPr>
              <w:jc w:val="both"/>
              <w:rPr>
                <w:sz w:val="20"/>
              </w:rPr>
            </w:pPr>
          </w:p>
        </w:tc>
      </w:tr>
      <w:tr w:rsidRPr="002E74CE" w:rsidR="00B22EEC" w:rsidTr="005B304B">
        <w:tc>
          <w:tcPr>
            <w:tcW w:w="4536" w:type="dxa"/>
          </w:tcPr>
          <w:p w:rsidRPr="002E74CE" w:rsidR="00B22EEC" w:rsidP="005B304B" w:rsidRDefault="00B22EEC">
            <w:pPr>
              <w:jc w:val="both"/>
              <w:rPr>
                <w:sz w:val="20"/>
              </w:rPr>
            </w:pPr>
            <w:r>
              <w:rPr>
                <w:sz w:val="20"/>
              </w:rPr>
              <w:t xml:space="preserve">   Lejet andel af: Garage</w:t>
            </w:r>
          </w:p>
        </w:tc>
        <w:tc>
          <w:tcPr>
            <w:tcW w:w="1590" w:type="dxa"/>
            <w:tcBorders>
              <w:right w:val="nil"/>
            </w:tcBorders>
          </w:tcPr>
          <w:p w:rsidRPr="002E74CE" w:rsidR="00B22EEC" w:rsidP="005B304B" w:rsidRDefault="00B22EEC">
            <w:pPr>
              <w:jc w:val="right"/>
              <w:rPr>
                <w:sz w:val="20"/>
                <w:highlight w:val="yellow"/>
              </w:rPr>
            </w:pPr>
            <w:r w:rsidRPr="00434948">
              <w:rPr>
                <w:sz w:val="20"/>
              </w:rPr>
              <w:t>257</w:t>
            </w:r>
          </w:p>
        </w:tc>
        <w:tc>
          <w:tcPr>
            <w:tcW w:w="570" w:type="dxa"/>
            <w:tcBorders>
              <w:left w:val="nil"/>
            </w:tcBorders>
          </w:tcPr>
          <w:p w:rsidRPr="002E74CE" w:rsidR="00B22EEC" w:rsidP="005B304B" w:rsidRDefault="00B22EEC">
            <w:pPr>
              <w:jc w:val="both"/>
              <w:rPr>
                <w:sz w:val="20"/>
              </w:rPr>
            </w:pPr>
            <w:r w:rsidRPr="002E74CE">
              <w:rPr>
                <w:sz w:val="20"/>
              </w:rPr>
              <w:t>m</w:t>
            </w:r>
            <w:r w:rsidRPr="002E74CE">
              <w:rPr>
                <w:sz w:val="20"/>
                <w:vertAlign w:val="superscript"/>
              </w:rPr>
              <w:t>2</w:t>
            </w:r>
          </w:p>
        </w:tc>
      </w:tr>
      <w:tr w:rsidRPr="002E74CE" w:rsidR="00B22EEC" w:rsidTr="005B304B">
        <w:trPr>
          <w:trHeight w:val="284"/>
        </w:trPr>
        <w:tc>
          <w:tcPr>
            <w:tcW w:w="4536" w:type="dxa"/>
            <w:tcBorders>
              <w:bottom w:val="single" w:color="auto" w:sz="4" w:space="0"/>
            </w:tcBorders>
            <w:shd w:val="clear" w:color="auto" w:fill="D9D9D9" w:themeFill="background1" w:themeFillShade="D9"/>
          </w:tcPr>
          <w:p w:rsidRPr="002E74CE" w:rsidR="00B22EEC" w:rsidP="005B304B" w:rsidRDefault="00B22EEC">
            <w:pPr>
              <w:jc w:val="both"/>
              <w:rPr>
                <w:sz w:val="20"/>
              </w:rPr>
            </w:pPr>
            <w:r w:rsidRPr="002E74CE">
              <w:rPr>
                <w:sz w:val="20"/>
              </w:rPr>
              <w:t>Årlig afskrivning i henhold til POLKA</w:t>
            </w:r>
          </w:p>
        </w:tc>
        <w:tc>
          <w:tcPr>
            <w:tcW w:w="1590" w:type="dxa"/>
            <w:tcBorders>
              <w:bottom w:val="single" w:color="auto" w:sz="4" w:space="0"/>
              <w:right w:val="nil"/>
            </w:tcBorders>
            <w:shd w:val="clear" w:color="auto" w:fill="D9D9D9" w:themeFill="background1" w:themeFillShade="D9"/>
          </w:tcPr>
          <w:p w:rsidRPr="002E74CE" w:rsidR="00B22EEC" w:rsidP="005B304B" w:rsidRDefault="00B22EEC">
            <w:pPr>
              <w:jc w:val="right"/>
              <w:rPr>
                <w:sz w:val="20"/>
              </w:rPr>
            </w:pPr>
            <w:r>
              <w:rPr>
                <w:sz w:val="20"/>
              </w:rPr>
              <w:t>58.253</w:t>
            </w:r>
          </w:p>
        </w:tc>
        <w:tc>
          <w:tcPr>
            <w:tcW w:w="570" w:type="dxa"/>
            <w:tcBorders>
              <w:left w:val="nil"/>
              <w:bottom w:val="single" w:color="auto" w:sz="4" w:space="0"/>
            </w:tcBorders>
            <w:shd w:val="clear" w:color="auto" w:fill="D9D9D9" w:themeFill="background1" w:themeFillShade="D9"/>
          </w:tcPr>
          <w:p w:rsidRPr="002E74CE" w:rsidR="00B22EEC" w:rsidP="005B304B" w:rsidRDefault="00B22EEC">
            <w:pPr>
              <w:jc w:val="both"/>
              <w:rPr>
                <w:sz w:val="20"/>
              </w:rPr>
            </w:pPr>
            <w:r w:rsidRPr="002E74CE">
              <w:rPr>
                <w:sz w:val="20"/>
              </w:rPr>
              <w:t>kr.</w:t>
            </w:r>
          </w:p>
        </w:tc>
      </w:tr>
      <w:tr w:rsidRPr="002E74CE" w:rsidR="00B22EEC" w:rsidTr="005B304B">
        <w:tc>
          <w:tcPr>
            <w:tcW w:w="4536" w:type="dxa"/>
            <w:tcBorders>
              <w:bottom w:val="nil"/>
              <w:right w:val="nil"/>
            </w:tcBorders>
          </w:tcPr>
          <w:p w:rsidRPr="002E74CE" w:rsidR="00B22EEC" w:rsidP="005B304B" w:rsidRDefault="00B22EEC">
            <w:pPr>
              <w:jc w:val="both"/>
              <w:rPr>
                <w:b/>
                <w:sz w:val="20"/>
              </w:rPr>
            </w:pPr>
            <w:r w:rsidRPr="002E74CE">
              <w:rPr>
                <w:b/>
                <w:sz w:val="20"/>
              </w:rPr>
              <w:t>Renteomkostninger</w:t>
            </w:r>
          </w:p>
        </w:tc>
        <w:tc>
          <w:tcPr>
            <w:tcW w:w="1590" w:type="dxa"/>
            <w:tcBorders>
              <w:left w:val="nil"/>
              <w:bottom w:val="nil"/>
              <w:right w:val="nil"/>
            </w:tcBorders>
          </w:tcPr>
          <w:p w:rsidRPr="002E74CE" w:rsidR="00B22EEC" w:rsidP="005B304B" w:rsidRDefault="00B22EEC">
            <w:pPr>
              <w:jc w:val="both"/>
              <w:rPr>
                <w:sz w:val="20"/>
              </w:rPr>
            </w:pPr>
          </w:p>
        </w:tc>
        <w:tc>
          <w:tcPr>
            <w:tcW w:w="570" w:type="dxa"/>
            <w:tcBorders>
              <w:left w:val="nil"/>
              <w:bottom w:val="nil"/>
            </w:tcBorders>
          </w:tcPr>
          <w:p w:rsidRPr="002E74CE" w:rsidR="00B22EEC" w:rsidP="005B304B" w:rsidRDefault="00B22EEC">
            <w:pPr>
              <w:jc w:val="both"/>
              <w:rPr>
                <w:sz w:val="20"/>
              </w:rPr>
            </w:pPr>
          </w:p>
        </w:tc>
      </w:tr>
      <w:tr w:rsidRPr="002E74CE" w:rsidR="00B22EEC" w:rsidTr="005B304B">
        <w:tc>
          <w:tcPr>
            <w:tcW w:w="4536" w:type="dxa"/>
            <w:tcBorders>
              <w:top w:val="nil"/>
              <w:right w:val="nil"/>
            </w:tcBorders>
          </w:tcPr>
          <w:p w:rsidRPr="002E74CE" w:rsidR="00B22EEC" w:rsidP="005B304B" w:rsidRDefault="00B22EEC">
            <w:pPr>
              <w:jc w:val="both"/>
              <w:rPr>
                <w:sz w:val="20"/>
              </w:rPr>
            </w:pPr>
            <w:r w:rsidRPr="002E74CE">
              <w:rPr>
                <w:sz w:val="20"/>
              </w:rPr>
              <w:t>Bygninger:</w:t>
            </w:r>
          </w:p>
        </w:tc>
        <w:tc>
          <w:tcPr>
            <w:tcW w:w="1590" w:type="dxa"/>
            <w:tcBorders>
              <w:top w:val="nil"/>
              <w:left w:val="nil"/>
              <w:right w:val="nil"/>
            </w:tcBorders>
          </w:tcPr>
          <w:p w:rsidRPr="002E74CE" w:rsidR="00B22EEC" w:rsidP="005B304B" w:rsidRDefault="00B22EEC">
            <w:pPr>
              <w:jc w:val="both"/>
              <w:rPr>
                <w:sz w:val="20"/>
              </w:rPr>
            </w:pPr>
          </w:p>
        </w:tc>
        <w:tc>
          <w:tcPr>
            <w:tcW w:w="570" w:type="dxa"/>
            <w:tcBorders>
              <w:top w:val="nil"/>
              <w:left w:val="nil"/>
            </w:tcBorders>
          </w:tcPr>
          <w:p w:rsidRPr="002E74CE" w:rsidR="00B22EEC" w:rsidP="005B304B" w:rsidRDefault="00B22EEC">
            <w:pPr>
              <w:jc w:val="both"/>
              <w:rPr>
                <w:sz w:val="20"/>
              </w:rPr>
            </w:pPr>
          </w:p>
        </w:tc>
      </w:tr>
      <w:tr w:rsidRPr="002E74CE" w:rsidR="00B22EEC" w:rsidTr="005B304B">
        <w:tc>
          <w:tcPr>
            <w:tcW w:w="4536" w:type="dxa"/>
          </w:tcPr>
          <w:p w:rsidRPr="002E74CE" w:rsidR="00B22EEC" w:rsidP="005B304B" w:rsidRDefault="00B22EEC">
            <w:pPr>
              <w:jc w:val="both"/>
              <w:rPr>
                <w:sz w:val="20"/>
              </w:rPr>
            </w:pPr>
            <w:r w:rsidRPr="002E74CE">
              <w:rPr>
                <w:sz w:val="20"/>
              </w:rPr>
              <w:t xml:space="preserve">   </w:t>
            </w:r>
            <w:r>
              <w:rPr>
                <w:sz w:val="20"/>
              </w:rPr>
              <w:t>Skønnet e</w:t>
            </w:r>
            <w:r w:rsidRPr="002E74CE">
              <w:rPr>
                <w:sz w:val="20"/>
              </w:rPr>
              <w:t>jendomsværdi</w:t>
            </w:r>
            <w:r>
              <w:rPr>
                <w:sz w:val="20"/>
              </w:rPr>
              <w:t xml:space="preserve"> af lejet andel af: Garage</w:t>
            </w:r>
          </w:p>
        </w:tc>
        <w:tc>
          <w:tcPr>
            <w:tcW w:w="1590" w:type="dxa"/>
            <w:tcBorders>
              <w:right w:val="nil"/>
            </w:tcBorders>
          </w:tcPr>
          <w:p w:rsidRPr="00A4089F" w:rsidR="00B22EEC" w:rsidP="005B304B" w:rsidRDefault="00B22EEC">
            <w:pPr>
              <w:jc w:val="right"/>
              <w:rPr>
                <w:sz w:val="20"/>
              </w:rPr>
            </w:pPr>
            <w:r w:rsidRPr="0086514A">
              <w:rPr>
                <w:sz w:val="20"/>
              </w:rPr>
              <w:t>1.134.000</w:t>
            </w:r>
          </w:p>
        </w:tc>
        <w:tc>
          <w:tcPr>
            <w:tcW w:w="570" w:type="dxa"/>
            <w:tcBorders>
              <w:left w:val="nil"/>
            </w:tcBorders>
          </w:tcPr>
          <w:p w:rsidRPr="002E74CE" w:rsidR="00B22EEC" w:rsidP="005B304B" w:rsidRDefault="00B22EEC">
            <w:pPr>
              <w:jc w:val="both"/>
              <w:rPr>
                <w:sz w:val="20"/>
              </w:rPr>
            </w:pPr>
            <w:r w:rsidRPr="002E74CE">
              <w:rPr>
                <w:sz w:val="20"/>
              </w:rPr>
              <w:t>kr.</w:t>
            </w:r>
          </w:p>
        </w:tc>
      </w:tr>
      <w:tr w:rsidRPr="002E74CE" w:rsidR="00B22EEC" w:rsidTr="005B304B">
        <w:tc>
          <w:tcPr>
            <w:tcW w:w="4536" w:type="dxa"/>
          </w:tcPr>
          <w:p w:rsidRPr="002E74CE" w:rsidR="00B22EEC" w:rsidP="005B304B" w:rsidRDefault="00B22EEC">
            <w:pPr>
              <w:jc w:val="both"/>
              <w:rPr>
                <w:sz w:val="20"/>
              </w:rPr>
            </w:pPr>
            <w:r w:rsidRPr="002E74CE">
              <w:rPr>
                <w:sz w:val="20"/>
              </w:rPr>
              <w:t>Rente</w:t>
            </w:r>
          </w:p>
        </w:tc>
        <w:tc>
          <w:tcPr>
            <w:tcW w:w="1590" w:type="dxa"/>
            <w:tcBorders>
              <w:right w:val="nil"/>
            </w:tcBorders>
          </w:tcPr>
          <w:p w:rsidRPr="00A4089F" w:rsidR="00B22EEC" w:rsidP="005B304B" w:rsidRDefault="00B22EEC">
            <w:pPr>
              <w:jc w:val="right"/>
              <w:rPr>
                <w:sz w:val="20"/>
              </w:rPr>
            </w:pPr>
            <w:r w:rsidRPr="00A4089F">
              <w:rPr>
                <w:sz w:val="20"/>
              </w:rPr>
              <w:t>4</w:t>
            </w:r>
          </w:p>
        </w:tc>
        <w:tc>
          <w:tcPr>
            <w:tcW w:w="570" w:type="dxa"/>
            <w:tcBorders>
              <w:left w:val="nil"/>
            </w:tcBorders>
          </w:tcPr>
          <w:p w:rsidRPr="002E74CE" w:rsidR="00B22EEC" w:rsidP="005B304B" w:rsidRDefault="00B22EEC">
            <w:pPr>
              <w:jc w:val="both"/>
              <w:rPr>
                <w:sz w:val="20"/>
              </w:rPr>
            </w:pPr>
            <w:r w:rsidRPr="002E74CE">
              <w:rPr>
                <w:sz w:val="20"/>
              </w:rPr>
              <w:t>pct.</w:t>
            </w:r>
          </w:p>
        </w:tc>
      </w:tr>
      <w:tr w:rsidRPr="002E74CE" w:rsidR="00B22EEC" w:rsidTr="005B304B">
        <w:tc>
          <w:tcPr>
            <w:tcW w:w="4536" w:type="dxa"/>
            <w:shd w:val="clear" w:color="auto" w:fill="D9D9D9" w:themeFill="background1" w:themeFillShade="D9"/>
          </w:tcPr>
          <w:p w:rsidRPr="002E74CE" w:rsidR="00B22EEC" w:rsidP="005B304B" w:rsidRDefault="00B22EEC">
            <w:pPr>
              <w:jc w:val="both"/>
              <w:rPr>
                <w:sz w:val="20"/>
              </w:rPr>
            </w:pPr>
            <w:r w:rsidRPr="002E74CE">
              <w:rPr>
                <w:sz w:val="20"/>
              </w:rPr>
              <w:t>Tillæg for renteomkostninger til bygninger</w:t>
            </w:r>
          </w:p>
        </w:tc>
        <w:tc>
          <w:tcPr>
            <w:tcW w:w="1590" w:type="dxa"/>
            <w:tcBorders>
              <w:right w:val="nil"/>
            </w:tcBorders>
            <w:shd w:val="clear" w:color="auto" w:fill="D9D9D9" w:themeFill="background1" w:themeFillShade="D9"/>
          </w:tcPr>
          <w:p w:rsidRPr="00A4089F" w:rsidR="00B22EEC" w:rsidP="005B304B" w:rsidRDefault="00B22EEC">
            <w:pPr>
              <w:jc w:val="right"/>
              <w:rPr>
                <w:sz w:val="20"/>
              </w:rPr>
            </w:pPr>
            <w:r w:rsidRPr="0086514A">
              <w:rPr>
                <w:sz w:val="20"/>
              </w:rPr>
              <w:t>45.360</w:t>
            </w:r>
          </w:p>
        </w:tc>
        <w:tc>
          <w:tcPr>
            <w:tcW w:w="570" w:type="dxa"/>
            <w:tcBorders>
              <w:left w:val="nil"/>
            </w:tcBorders>
            <w:shd w:val="clear" w:color="auto" w:fill="D9D9D9" w:themeFill="background1" w:themeFillShade="D9"/>
          </w:tcPr>
          <w:p w:rsidRPr="002E74CE" w:rsidR="00B22EEC" w:rsidP="005B304B" w:rsidRDefault="00B22EEC">
            <w:pPr>
              <w:jc w:val="both"/>
              <w:rPr>
                <w:sz w:val="20"/>
              </w:rPr>
            </w:pPr>
            <w:r w:rsidRPr="002E74CE">
              <w:rPr>
                <w:sz w:val="20"/>
              </w:rPr>
              <w:t>kr.</w:t>
            </w:r>
          </w:p>
        </w:tc>
      </w:tr>
      <w:tr w:rsidRPr="002E74CE" w:rsidR="00B22EEC" w:rsidTr="005B304B">
        <w:tc>
          <w:tcPr>
            <w:tcW w:w="4536" w:type="dxa"/>
            <w:shd w:val="clear" w:color="auto" w:fill="000000" w:themeFill="text1"/>
          </w:tcPr>
          <w:p w:rsidRPr="00467870" w:rsidR="00B22EEC" w:rsidP="005B304B" w:rsidRDefault="00B22EEC">
            <w:pPr>
              <w:jc w:val="both"/>
              <w:rPr>
                <w:b/>
                <w:color w:val="FFFFFF" w:themeColor="background1"/>
                <w:sz w:val="20"/>
              </w:rPr>
            </w:pPr>
            <w:r w:rsidRPr="00467870">
              <w:rPr>
                <w:b/>
                <w:color w:val="FFFFFF" w:themeColor="background1"/>
                <w:sz w:val="20"/>
              </w:rPr>
              <w:t>Samlet tillæg til netvolumenmålet</w:t>
            </w:r>
          </w:p>
        </w:tc>
        <w:tc>
          <w:tcPr>
            <w:tcW w:w="1590" w:type="dxa"/>
            <w:tcBorders>
              <w:right w:val="nil"/>
            </w:tcBorders>
            <w:shd w:val="clear" w:color="auto" w:fill="000000" w:themeFill="text1"/>
          </w:tcPr>
          <w:p w:rsidRPr="00A4089F" w:rsidR="00B22EEC" w:rsidP="005B304B" w:rsidRDefault="00B22EEC">
            <w:pPr>
              <w:jc w:val="right"/>
              <w:rPr>
                <w:b/>
                <w:color w:val="FFFFFF" w:themeColor="background1"/>
                <w:sz w:val="20"/>
              </w:rPr>
            </w:pPr>
            <w:r w:rsidRPr="0086514A">
              <w:rPr>
                <w:b/>
                <w:color w:val="FFFFFF" w:themeColor="background1"/>
                <w:sz w:val="20"/>
              </w:rPr>
              <w:t>103.613</w:t>
            </w:r>
          </w:p>
        </w:tc>
        <w:tc>
          <w:tcPr>
            <w:tcW w:w="570" w:type="dxa"/>
            <w:tcBorders>
              <w:left w:val="nil"/>
            </w:tcBorders>
            <w:shd w:val="clear" w:color="auto" w:fill="000000" w:themeFill="text1"/>
          </w:tcPr>
          <w:p w:rsidRPr="00467870" w:rsidR="00B22EEC" w:rsidP="005B304B" w:rsidRDefault="00B22EEC">
            <w:pPr>
              <w:jc w:val="both"/>
              <w:rPr>
                <w:color w:val="FFFFFF" w:themeColor="background1"/>
                <w:sz w:val="20"/>
              </w:rPr>
            </w:pPr>
            <w:r w:rsidRPr="00467870">
              <w:rPr>
                <w:color w:val="FFFFFF" w:themeColor="background1"/>
                <w:sz w:val="20"/>
              </w:rPr>
              <w:t>kr.</w:t>
            </w:r>
          </w:p>
        </w:tc>
      </w:tr>
    </w:tbl>
    <w:p w:rsidRPr="00B22EEC" w:rsidR="002F6F86" w:rsidP="002F6F86" w:rsidRDefault="002F6F86">
      <w:pPr>
        <w:spacing w:before="120"/>
        <w:jc w:val="both"/>
        <w:rPr>
          <w:i/>
          <w:sz w:val="20"/>
        </w:rPr>
      </w:pPr>
      <w:r w:rsidRPr="00B22EEC">
        <w:rPr>
          <w:i/>
          <w:sz w:val="20"/>
        </w:rPr>
        <w:t>”Årlig afskrivning i henhold til POLKA” er den afskrivning, som selskabet ville have fået, såfremt det havde ejet bygningerne selv (af det oplyste antal lejede kvadratmeter). ”Tillæg for renteomkostninger for bygninger/grunde” er beregnet som summen af ejendoms-/grundværdierne ganget med den respektive andel og renten. Det samlede ti</w:t>
      </w:r>
      <w:r w:rsidRPr="00B22EEC">
        <w:rPr>
          <w:i/>
          <w:sz w:val="20"/>
        </w:rPr>
        <w:t>l</w:t>
      </w:r>
      <w:r w:rsidRPr="00B22EEC">
        <w:rPr>
          <w:i/>
          <w:sz w:val="20"/>
        </w:rPr>
        <w:t>læg til netvolumenmålet er således selskabets tillæg for renteomkostninger til bygninger og grunde samt den årlige afskrivning i henhold til POLKA.</w:t>
      </w:r>
    </w:p>
    <w:p w:rsidRPr="00B22EEC" w:rsidR="002F6F86" w:rsidP="002F6F86" w:rsidRDefault="002F6F86">
      <w:pPr>
        <w:jc w:val="both"/>
        <w:rPr>
          <w:szCs w:val="24"/>
        </w:rPr>
      </w:pPr>
    </w:p>
    <w:p w:rsidR="002F6F86" w:rsidP="002F6F86" w:rsidRDefault="002F6F86">
      <w:pPr>
        <w:jc w:val="both"/>
        <w:rPr>
          <w:szCs w:val="24"/>
        </w:rPr>
      </w:pPr>
      <w:r w:rsidRPr="00B22EEC">
        <w:rPr>
          <w:szCs w:val="24"/>
        </w:rPr>
        <w:t xml:space="preserve">Forsyningssekretariatet har derfor øget selskabets netvolumenmål med </w:t>
      </w:r>
      <w:r w:rsidRPr="00B22EEC" w:rsidR="00B22EEC">
        <w:rPr>
          <w:szCs w:val="24"/>
        </w:rPr>
        <w:t>10</w:t>
      </w:r>
      <w:r w:rsidRPr="00B22EEC" w:rsidR="00386DEF">
        <w:rPr>
          <w:szCs w:val="24"/>
        </w:rPr>
        <w:t>3.</w:t>
      </w:r>
      <w:r w:rsidRPr="00B22EEC" w:rsidR="00B22EEC">
        <w:rPr>
          <w:szCs w:val="24"/>
        </w:rPr>
        <w:t>6</w:t>
      </w:r>
      <w:r w:rsidRPr="00B22EEC" w:rsidR="00386DEF">
        <w:rPr>
          <w:szCs w:val="24"/>
        </w:rPr>
        <w:t>13</w:t>
      </w:r>
      <w:r w:rsidRPr="00B22EEC">
        <w:rPr>
          <w:szCs w:val="24"/>
        </w:rPr>
        <w:t xml:space="preserve"> kr.</w:t>
      </w:r>
      <w:r w:rsidRPr="00CB6265">
        <w:rPr>
          <w:szCs w:val="24"/>
        </w:rPr>
        <w:t xml:space="preserve"> </w:t>
      </w:r>
    </w:p>
    <w:p w:rsidR="004B52F1" w:rsidP="002F6F86" w:rsidRDefault="004B52F1">
      <w:pPr>
        <w:jc w:val="both"/>
        <w:rPr>
          <w:szCs w:val="24"/>
        </w:rPr>
      </w:pPr>
    </w:p>
    <w:p w:rsidR="004B52F1" w:rsidP="004B52F1" w:rsidRDefault="004B52F1">
      <w:pPr>
        <w:jc w:val="both"/>
        <w:rPr>
          <w:i/>
        </w:rPr>
      </w:pPr>
      <w:r w:rsidRPr="002F295C">
        <w:rPr>
          <w:i/>
        </w:rPr>
        <w:t>Tæthedskorrektion</w:t>
      </w:r>
    </w:p>
    <w:p w:rsidR="004B52F1" w:rsidP="004B52F1" w:rsidRDefault="004B52F1">
      <w:pPr>
        <w:jc w:val="both"/>
      </w:pPr>
      <w:r>
        <w:t>Selskabet har indsendt oplysninger vedrørende tæthedskorrektion i mail af 23. september 2013</w:t>
      </w:r>
    </w:p>
    <w:p w:rsidRPr="007E45C4" w:rsidR="004B52F1" w:rsidP="004B52F1" w:rsidRDefault="004B52F1">
      <w:pPr>
        <w:jc w:val="both"/>
      </w:pPr>
    </w:p>
    <w:p w:rsidR="004B52F1" w:rsidP="004B52F1" w:rsidRDefault="004B52F1">
      <w:pPr>
        <w:jc w:val="both"/>
      </w:pPr>
      <w:r>
        <w:t>I benchmarkingmodellen tages der hensyn til, at selskaberne kan være beliggende i tætte områder med en kompleks infrastruktur, hvilket der er opgjort et tæthedsmål for, jf. bilag 3 til Resultatorienteret Benchmarking 2014</w:t>
      </w:r>
      <w:r>
        <w:rPr>
          <w:rStyle w:val="Fodnotehenvisning"/>
        </w:rPr>
        <w:footnoteReference w:id="2"/>
      </w:r>
      <w:r>
        <w:t>. Tæthedsmålet er antal målere per meter spildevandsledning.</w:t>
      </w:r>
    </w:p>
    <w:p w:rsidR="004B52F1" w:rsidP="004B52F1" w:rsidRDefault="004B52F1">
      <w:pPr>
        <w:jc w:val="both"/>
      </w:pPr>
    </w:p>
    <w:p w:rsidR="004B52F1" w:rsidP="004B52F1" w:rsidRDefault="004B52F1">
      <w:pPr>
        <w:jc w:val="both"/>
      </w:pPr>
      <w:r>
        <w:t>Tæthedsmålet benyttes i beregningen af det tæthedskorrigerede netvol</w:t>
      </w:r>
      <w:r>
        <w:t>u</w:t>
      </w:r>
      <w:r>
        <w:t>menmål, hvorfor det har en betydning for benchmarkingen af selskabe</w:t>
      </w:r>
      <w:r>
        <w:t>r</w:t>
      </w:r>
      <w:r>
        <w:t>ne, jf. bilag 4 til Hovedpapiret for benchmarking 2013</w:t>
      </w:r>
      <w:r>
        <w:rPr>
          <w:rStyle w:val="Fodnotehenvisning"/>
        </w:rPr>
        <w:footnoteReference w:id="3"/>
      </w:r>
      <w:r>
        <w:t>. Tæthedskorre</w:t>
      </w:r>
      <w:r>
        <w:t>k</w:t>
      </w:r>
      <w:r>
        <w:t>tionen forøger selskabets netvolumenmål, hvilket kan reducere effektiv</w:t>
      </w:r>
      <w:r>
        <w:t>i</w:t>
      </w:r>
      <w:r>
        <w:t xml:space="preserve">seringspotentialet. </w:t>
      </w:r>
    </w:p>
    <w:p w:rsidR="004B52F1" w:rsidP="004B52F1" w:rsidRDefault="004B52F1">
      <w:pPr>
        <w:jc w:val="both"/>
      </w:pPr>
    </w:p>
    <w:p w:rsidR="004B52F1" w:rsidP="004B52F1" w:rsidRDefault="004B52F1">
      <w:pPr>
        <w:jc w:val="both"/>
      </w:pPr>
      <w:r>
        <w:t>Forsyningssekretariatet er blevet gjort opmærksomt på, at det anvendte tæthedsmål for nogle selskaber kan være opgjort forkert. Det skyldes, at nogle selskaber har separatkloakereret dele af eller hele ledningsnettet. I de tilfælde bliver tæthedsmålet opgjort for lavt, idet regnvandsledninge</w:t>
      </w:r>
      <w:r>
        <w:t>r</w:t>
      </w:r>
      <w:r>
        <w:t xml:space="preserve">ne indgår i tæthedsmålet. </w:t>
      </w:r>
    </w:p>
    <w:p w:rsidR="004B52F1" w:rsidP="004B52F1" w:rsidRDefault="004B52F1">
      <w:pPr>
        <w:jc w:val="both"/>
      </w:pPr>
    </w:p>
    <w:p w:rsidR="004B52F1" w:rsidP="004B52F1" w:rsidRDefault="004B52F1">
      <w:pPr>
        <w:jc w:val="both"/>
      </w:pPr>
      <w:r>
        <w:t>For at rette op på eventuelle fejl i selskabernes tæthedsmål, har Fors</w:t>
      </w:r>
      <w:r>
        <w:t>y</w:t>
      </w:r>
      <w:r>
        <w:t>ningssekretariatet i mail af 1</w:t>
      </w:r>
      <w:r w:rsidR="00587F48">
        <w:t>6</w:t>
      </w:r>
      <w:r>
        <w:t xml:space="preserve">. </w:t>
      </w:r>
      <w:r w:rsidR="00587F48">
        <w:t>september</w:t>
      </w:r>
      <w:r>
        <w:t xml:space="preserve"> 2013 opfordret selskaberne til at gøre opmærksom på, om de har separatkloakeret ledningsnettet. </w:t>
      </w:r>
    </w:p>
    <w:p w:rsidR="004B52F1" w:rsidP="004B52F1" w:rsidRDefault="004B52F1">
      <w:pPr>
        <w:jc w:val="both"/>
      </w:pPr>
      <w:r>
        <w:lastRenderedPageBreak/>
        <w:t>Selskabet har indsendt oplysninger om, hvor mange kilometer reg</w:t>
      </w:r>
      <w:r>
        <w:t>n</w:t>
      </w:r>
      <w:r>
        <w:t>vandsledninger, selskabet har.</w:t>
      </w:r>
    </w:p>
    <w:p w:rsidR="004B52F1" w:rsidP="004B52F1" w:rsidRDefault="004B52F1">
      <w:pPr>
        <w:jc w:val="both"/>
      </w:pPr>
    </w:p>
    <w:p w:rsidR="004B52F1" w:rsidP="004B52F1" w:rsidRDefault="004B52F1">
      <w:pPr>
        <w:spacing w:after="120"/>
        <w:jc w:val="both"/>
      </w:pPr>
      <w:r>
        <w:t>For at tage højde for regnvandsledninger i beregningen af det tæthed</w:t>
      </w:r>
      <w:r>
        <w:t>s</w:t>
      </w:r>
      <w:r>
        <w:t xml:space="preserve">korrigerede netvolumenmål, giver Forsyningssekretariatet selskabet et tillæg for </w:t>
      </w:r>
      <w:r>
        <w:rPr>
          <w:i/>
        </w:rPr>
        <w:t>særlige forhold</w:t>
      </w:r>
      <w:r>
        <w:t>. Tillægget tager udgangspunkt i forskellen me</w:t>
      </w:r>
      <w:r>
        <w:t>l</w:t>
      </w:r>
      <w:r>
        <w:t>lem selskabets gamle tæthedsmål og selskabets nye tæthedsmål. Tillæ</w:t>
      </w:r>
      <w:r>
        <w:t>g</w:t>
      </w:r>
      <w:r>
        <w:t>get opgøres på følgende måde:</w:t>
      </w:r>
    </w:p>
    <w:p w:rsidR="004B52F1" w:rsidP="004B52F1" w:rsidRDefault="004B52F1">
      <w:pPr>
        <w:pStyle w:val="Listeafsnit"/>
        <w:numPr>
          <w:ilvl w:val="0"/>
          <w:numId w:val="29"/>
        </w:numPr>
        <w:jc w:val="both"/>
      </w:pPr>
      <w:r>
        <w:t xml:space="preserve">Det nye tæthedsmål beregnes ud fra de indsendte oplysninger. </w:t>
      </w:r>
    </w:p>
    <w:p w:rsidR="004B52F1" w:rsidP="004B52F1" w:rsidRDefault="004B52F1">
      <w:pPr>
        <w:pStyle w:val="Listeafsnit"/>
        <w:numPr>
          <w:ilvl w:val="0"/>
          <w:numId w:val="29"/>
        </w:numPr>
        <w:jc w:val="both"/>
      </w:pPr>
      <w:r>
        <w:t xml:space="preserve">Dernæst findes den relative forskel mellem det oprindelige og det nye tæthedsmål. </w:t>
      </w:r>
    </w:p>
    <w:p w:rsidR="004B52F1" w:rsidP="004B52F1" w:rsidRDefault="004B52F1">
      <w:pPr>
        <w:pStyle w:val="Listeafsnit"/>
        <w:numPr>
          <w:ilvl w:val="0"/>
          <w:numId w:val="29"/>
        </w:numPr>
        <w:jc w:val="both"/>
      </w:pPr>
      <w:r>
        <w:t>Dette tal ganges med den absolutte forskel mellem netvolume</w:t>
      </w:r>
      <w:r>
        <w:t>n</w:t>
      </w:r>
      <w:r>
        <w:t>målet og det tæthedskorrigerede netvolumenmål. Resultatet u</w:t>
      </w:r>
      <w:r>
        <w:t>d</w:t>
      </w:r>
      <w:r>
        <w:t>gør tillægget for det særlige forhold.</w:t>
      </w:r>
    </w:p>
    <w:p w:rsidR="004B52F1" w:rsidP="004B52F1" w:rsidRDefault="004B52F1">
      <w:pPr>
        <w:jc w:val="both"/>
      </w:pPr>
    </w:p>
    <w:p w:rsidR="004B52F1" w:rsidP="004B52F1" w:rsidRDefault="004B52F1">
      <w:pPr>
        <w:spacing w:after="120"/>
        <w:jc w:val="both"/>
      </w:pPr>
      <w:r>
        <w:t>Nedenfor er selve beregningen af tillægget vist på ligningsform:</w:t>
      </w:r>
    </w:p>
    <w:p w:rsidR="004B52F1" w:rsidP="004B52F1" w:rsidRDefault="004B52F1">
      <w:pPr>
        <w:jc w:val="both"/>
      </w:pPr>
      <w:r>
        <w:t>Tillæg = ((Nyt tæthedsmål – oprindeligt tæthedsmål)/oprindeligt tæ</w:t>
      </w:r>
      <w:r>
        <w:t>t</w:t>
      </w:r>
      <w:r>
        <w:t>hedsmål)*(tæthedskorrigeret netvolumenmål – netvolumenmål)</w:t>
      </w:r>
    </w:p>
    <w:p w:rsidR="004B52F1" w:rsidP="004B52F1" w:rsidRDefault="004B52F1">
      <w:pPr>
        <w:jc w:val="both"/>
      </w:pPr>
    </w:p>
    <w:p w:rsidRPr="004B52F1" w:rsidR="004B52F1" w:rsidP="002F6F86" w:rsidRDefault="004B52F1">
      <w:pPr>
        <w:jc w:val="both"/>
      </w:pPr>
      <w:r>
        <w:t>Selskabets tillæg udgør på den baggrund</w:t>
      </w:r>
      <w:r w:rsidRPr="004B52F1">
        <w:t xml:space="preserve"> 191.124</w:t>
      </w:r>
      <w:r>
        <w:t xml:space="preserve"> kr.</w:t>
      </w:r>
    </w:p>
    <w:p w:rsidR="00AD4B44" w:rsidP="00DE1DE0" w:rsidRDefault="00AD4B44">
      <w:pPr>
        <w:jc w:val="both"/>
      </w:pPr>
    </w:p>
    <w:p w:rsidRPr="00E0777F" w:rsidR="00CA587A" w:rsidP="00CA587A" w:rsidRDefault="00CA587A">
      <w:pPr>
        <w:jc w:val="both"/>
        <w:rPr>
          <w:rStyle w:val="Fremhv"/>
          <w:szCs w:val="24"/>
        </w:rPr>
      </w:pPr>
      <w:bookmarkStart w:name="_Toc366226934" w:id="9"/>
      <w:r w:rsidRPr="00E0777F">
        <w:rPr>
          <w:rStyle w:val="Fremhv"/>
          <w:szCs w:val="24"/>
        </w:rPr>
        <w:t>Biogasanlæg</w:t>
      </w:r>
      <w:bookmarkEnd w:id="9"/>
    </w:p>
    <w:p w:rsidRPr="00E0777F" w:rsidR="00CA587A" w:rsidP="00CA587A" w:rsidRDefault="00CA587A">
      <w:pPr>
        <w:jc w:val="both"/>
        <w:rPr>
          <w:szCs w:val="24"/>
        </w:rPr>
      </w:pPr>
      <w:r w:rsidRPr="00E0777F">
        <w:rPr>
          <w:szCs w:val="24"/>
        </w:rPr>
        <w:t>Særligt vedrørende biogasanlæg har Forsyningssekretariatet i mails af 6. og 20. august 2013 gjort spildevandsselskaberne opmærksom på, at se</w:t>
      </w:r>
      <w:r w:rsidRPr="00E0777F">
        <w:rPr>
          <w:szCs w:val="24"/>
        </w:rPr>
        <w:t>l</w:t>
      </w:r>
      <w:r w:rsidRPr="00E0777F">
        <w:rPr>
          <w:szCs w:val="24"/>
        </w:rPr>
        <w:t>skaber med biogasanlæg muligvis kan have et særligt forhold i forbinde</w:t>
      </w:r>
      <w:r w:rsidRPr="00E0777F">
        <w:rPr>
          <w:szCs w:val="24"/>
        </w:rPr>
        <w:t>l</w:t>
      </w:r>
      <w:r w:rsidRPr="00E0777F">
        <w:rPr>
          <w:szCs w:val="24"/>
        </w:rP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rsidRPr="00E0777F">
        <w:rPr>
          <w:szCs w:val="24"/>
        </w:rPr>
        <w:t>r</w:t>
      </w:r>
      <w:r w:rsidRPr="00E0777F">
        <w:rPr>
          <w:szCs w:val="24"/>
        </w:rPr>
        <w:t xml:space="preserve">kingmodellen. </w:t>
      </w:r>
    </w:p>
    <w:p w:rsidRPr="00E0777F" w:rsidR="00CA587A" w:rsidP="00CA587A" w:rsidRDefault="00CA587A">
      <w:pPr>
        <w:jc w:val="both"/>
        <w:rPr>
          <w:szCs w:val="24"/>
        </w:rPr>
      </w:pPr>
    </w:p>
    <w:p w:rsidRPr="00E0777F" w:rsidR="00CA587A" w:rsidP="00CA587A" w:rsidRDefault="00CA587A">
      <w:pPr>
        <w:jc w:val="both"/>
        <w:rPr>
          <w:szCs w:val="24"/>
        </w:rPr>
      </w:pPr>
      <w:r w:rsidRPr="00E0777F">
        <w:rPr>
          <w:szCs w:val="24"/>
        </w:rPr>
        <w:t>For at tage hensyn til eventuelt fordyrende forhold for disse selskaber, har Forsyningssekretariatet vurderet, at der kan gives et tillæg til netv</w:t>
      </w:r>
      <w:r w:rsidRPr="00E0777F">
        <w:rPr>
          <w:szCs w:val="24"/>
        </w:rPr>
        <w:t>o</w:t>
      </w:r>
      <w:r w:rsidRPr="00E0777F">
        <w:rPr>
          <w:szCs w:val="24"/>
        </w:rPr>
        <w:t>lumenmålet svarende til den meromkostning, som biogasanlæg mv. me</w:t>
      </w:r>
      <w:r w:rsidRPr="00E0777F">
        <w:rPr>
          <w:szCs w:val="24"/>
        </w:rPr>
        <w:t>d</w:t>
      </w:r>
      <w:r w:rsidRPr="00E0777F">
        <w:rPr>
          <w:szCs w:val="24"/>
        </w:rPr>
        <w:t xml:space="preserve">fører. </w:t>
      </w:r>
    </w:p>
    <w:p w:rsidRPr="00E0777F" w:rsidR="00CA587A" w:rsidP="00CA587A" w:rsidRDefault="00CA587A">
      <w:pPr>
        <w:jc w:val="both"/>
        <w:rPr>
          <w:szCs w:val="24"/>
        </w:rPr>
      </w:pPr>
    </w:p>
    <w:p w:rsidR="00CA587A" w:rsidP="00CA587A" w:rsidRDefault="00CA587A">
      <w:pPr>
        <w:jc w:val="both"/>
        <w:rPr>
          <w:szCs w:val="24"/>
        </w:rPr>
      </w:pPr>
      <w:r w:rsidRPr="00E0777F">
        <w:rPr>
          <w:szCs w:val="24"/>
        </w:rPr>
        <w:t>Da selskabet ikke er vendt tilbage på Forsyningssekretariatets henve</w:t>
      </w:r>
      <w:r w:rsidRPr="00E0777F">
        <w:rPr>
          <w:szCs w:val="24"/>
        </w:rPr>
        <w:t>n</w:t>
      </w:r>
      <w:r w:rsidRPr="00E0777F">
        <w:rPr>
          <w:szCs w:val="24"/>
        </w:rPr>
        <w:t xml:space="preserve">delser og da dette kan skyldes, at selskabet ikke benytter biogasanlæg, har Forsyningssekretariatet ikke foretaget sig yderligere. </w:t>
      </w:r>
    </w:p>
    <w:p w:rsidRPr="00E0777F" w:rsidR="003E42C2" w:rsidP="00CA587A" w:rsidRDefault="003E42C2">
      <w:pPr>
        <w:jc w:val="both"/>
        <w:rPr>
          <w:szCs w:val="24"/>
        </w:rPr>
      </w:pPr>
    </w:p>
    <w:p w:rsidRPr="002F6F86" w:rsidR="003E42C2" w:rsidP="003E42C2" w:rsidRDefault="003E42C2">
      <w:pPr>
        <w:jc w:val="both"/>
        <w:rPr>
          <w:i/>
        </w:rPr>
      </w:pPr>
      <w:r w:rsidRPr="002F6F86">
        <w:rPr>
          <w:i/>
        </w:rPr>
        <w:t>Samlet vurdering af særlige forhold</w:t>
      </w:r>
    </w:p>
    <w:p w:rsidR="003E42C2" w:rsidP="003E42C2" w:rsidRDefault="003E42C2">
      <w:pPr>
        <w:jc w:val="both"/>
      </w:pPr>
      <w:r>
        <w:t>Selskabets angivelser af særlige forhold vedrørende d</w:t>
      </w:r>
      <w:r w:rsidRPr="00457807">
        <w:t>rift af vagtordning</w:t>
      </w:r>
      <w:r>
        <w:t>, drift af olieudskillere, leje af arealer til regnvandsbassiner og leje af by</w:t>
      </w:r>
      <w:r>
        <w:t>g</w:t>
      </w:r>
      <w:r>
        <w:t>ninger samt selskabets tæthedskorrektion har givet anledning til en fo</w:t>
      </w:r>
      <w:r>
        <w:t>r</w:t>
      </w:r>
      <w:r>
        <w:t xml:space="preserve">højelse af selskabets netvolumenmål med </w:t>
      </w:r>
      <w:r w:rsidRPr="004B52F1">
        <w:t>681.386</w:t>
      </w:r>
      <w:r>
        <w:t xml:space="preserve"> kr.</w:t>
      </w:r>
    </w:p>
    <w:p w:rsidR="00CA587A" w:rsidP="00DE1DE0" w:rsidRDefault="00CA587A">
      <w:pPr>
        <w:jc w:val="both"/>
      </w:pPr>
    </w:p>
    <w:p w:rsidR="00D54C17" w:rsidP="004B52F1" w:rsidRDefault="00D54C17">
      <w:pPr>
        <w:spacing w:line="240" w:lineRule="auto"/>
        <w:rPr>
          <w:u w:val="single"/>
        </w:rPr>
      </w:pPr>
    </w:p>
    <w:p w:rsidR="00D54C17" w:rsidP="004B52F1" w:rsidRDefault="00D54C17">
      <w:pPr>
        <w:spacing w:line="240" w:lineRule="auto"/>
        <w:rPr>
          <w:u w:val="single"/>
        </w:rPr>
      </w:pPr>
    </w:p>
    <w:p w:rsidRPr="00E92116" w:rsidR="00AE1521" w:rsidP="004B52F1" w:rsidRDefault="00AE1521">
      <w:pPr>
        <w:spacing w:line="240" w:lineRule="auto"/>
        <w:rPr>
          <w:u w:val="single"/>
        </w:rPr>
      </w:pPr>
      <w:r>
        <w:rPr>
          <w:u w:val="single"/>
        </w:rPr>
        <w:lastRenderedPageBreak/>
        <w:t>Sammensætning af costdrivere</w:t>
      </w:r>
    </w:p>
    <w:p w:rsidR="00AE1521" w:rsidP="00AE1521" w:rsidRDefault="00AE1521">
      <w:pPr>
        <w:jc w:val="both"/>
      </w:pPr>
      <w:r>
        <w:t>Forsyningssekretariatet har gennemført en analyse af betydningen af se</w:t>
      </w:r>
      <w:r>
        <w:t>l</w:t>
      </w:r>
      <w:r>
        <w:t>skabernes sammensætning af costdrivere for at kunne tage højde for en eventuel skæv allokering af omkostningerne.</w:t>
      </w:r>
    </w:p>
    <w:p w:rsidR="00AE1521" w:rsidP="00AE1521" w:rsidRDefault="00AE1521">
      <w:pPr>
        <w:jc w:val="both"/>
      </w:pPr>
    </w:p>
    <w:p w:rsidR="00AE1521" w:rsidP="00AE1521" w:rsidRDefault="00AE1521">
      <w:pPr>
        <w:jc w:val="both"/>
      </w:pPr>
      <w:r>
        <w:t>Analysen omfatter en vurdering af, om selskabet har en forholdsvis stor andel af netvolumenmålet fra enkelte costdrivere. Yderligere indeholder analysen en undersøgelse af sammenhængen imellem effektiviseringsp</w:t>
      </w:r>
      <w:r>
        <w:t>o</w:t>
      </w:r>
      <w:r>
        <w:t xml:space="preserve">tentialet og størrelsen af netvolumenbidrag fra enkelte costdrivere. </w:t>
      </w:r>
    </w:p>
    <w:p w:rsidR="00AE1521" w:rsidP="00AE1521" w:rsidRDefault="00AE1521">
      <w:pPr>
        <w:jc w:val="both"/>
      </w:pPr>
    </w:p>
    <w:p w:rsidR="00AE1521" w:rsidP="00AE1521" w:rsidRDefault="00AE1521">
      <w:pPr>
        <w:jc w:val="both"/>
      </w:pPr>
      <w:r>
        <w:t>Analysen peger på, at selskaber, som har en samlet stor afvigelse på costdriverne</w:t>
      </w:r>
      <w:r w:rsidRPr="00A77EE2">
        <w:t xml:space="preserve">: </w:t>
      </w:r>
      <w:r w:rsidRPr="002F6F86" w:rsidR="002F6F86">
        <w:rPr>
          <w:i/>
        </w:rPr>
        <w:t>Ledning</w:t>
      </w:r>
      <w:r w:rsidR="002F6F86">
        <w:t xml:space="preserve">, </w:t>
      </w:r>
      <w:r w:rsidRPr="002F6F86" w:rsidR="002F6F86">
        <w:rPr>
          <w:i/>
        </w:rPr>
        <w:t>Kunder</w:t>
      </w:r>
      <w:r w:rsidR="002F6F86">
        <w:t xml:space="preserve"> og </w:t>
      </w:r>
      <w:r w:rsidRPr="002F6F86" w:rsidR="002F6F86">
        <w:rPr>
          <w:i/>
        </w:rPr>
        <w:t>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sammensætning af cos</w:t>
      </w:r>
      <w:r w:rsidRPr="00A77EE2">
        <w:t>t</w:t>
      </w:r>
      <w:r w:rsidRPr="00A77EE2">
        <w:t>drivere</w:t>
      </w:r>
      <w:r>
        <w:t xml:space="preserve"> </w:t>
      </w:r>
      <w:r w:rsidRPr="00A77EE2">
        <w:t xml:space="preserve">i bilag </w:t>
      </w:r>
      <w:r w:rsidR="002F6F86">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Udsving på signifikante costdrivere</w:t>
      </w:r>
    </w:p>
    <w:p w:rsidR="00AE1521" w:rsidP="00AE1521" w:rsidRDefault="00AE1521">
      <w:pPr>
        <w:jc w:val="both"/>
      </w:pPr>
      <w:r>
        <w:t>S</w:t>
      </w:r>
      <w:r w:rsidRPr="001B1F55">
        <w:t xml:space="preserve">elskabet har et relativt højt samlet netvolumenbidrag fra costdriverne </w:t>
      </w:r>
      <w:r w:rsidRPr="002F6F86" w:rsidR="002F6F86">
        <w:rPr>
          <w:i/>
        </w:rPr>
        <w:t>Ledning</w:t>
      </w:r>
      <w:r w:rsidR="002F6F86">
        <w:t xml:space="preserve">, </w:t>
      </w:r>
      <w:r w:rsidRPr="002F6F86" w:rsidR="002F6F86">
        <w:rPr>
          <w:i/>
        </w:rPr>
        <w:t>Kunder</w:t>
      </w:r>
      <w:r w:rsidR="002F6F86">
        <w:t xml:space="preserve"> og </w:t>
      </w:r>
      <w:r w:rsidRPr="002F6F86" w:rsidR="002F6F86">
        <w:rPr>
          <w:i/>
        </w:rPr>
        <w:t>Regnvandsbassiner</w:t>
      </w:r>
      <w:r w:rsidRPr="001B1F55">
        <w:t xml:space="preserve">, jf. bilag </w:t>
      </w:r>
      <w:r w:rsidR="002F6F86">
        <w:t>3</w:t>
      </w:r>
      <w:r w:rsidRPr="001B1F55">
        <w:t xml:space="preserve"> til modellen</w:t>
      </w:r>
      <w:r>
        <w:t>. Anal</w:t>
      </w:r>
      <w:r>
        <w:t>y</w:t>
      </w:r>
      <w:r>
        <w:t xml:space="preserve">sen i </w:t>
      </w:r>
      <w:r w:rsidRPr="00ED540E">
        <w:t xml:space="preserve">bilag </w:t>
      </w:r>
      <w:r w:rsidR="002F6F86">
        <w:t>1</w:t>
      </w:r>
      <w:r>
        <w:t xml:space="preserve"> vi</w:t>
      </w:r>
      <w:r w:rsidR="00640886">
        <w:t xml:space="preserve">ser, at dette kan have forøget </w:t>
      </w:r>
      <w:r>
        <w:t>selskabets effektivisering</w:t>
      </w:r>
      <w:r>
        <w:t>s</w:t>
      </w:r>
      <w:r>
        <w:t>potentiale. For at tage hensyn hertil har Forsyningssekretariatet taget u</w:t>
      </w:r>
      <w:r>
        <w:t>d</w:t>
      </w:r>
      <w:r>
        <w:t>gangspunkt i selskabets konkrete afvigelse for de omfattede costdrivere og efterfølgende korrigeret selskabets effektiviseringspotentiale i he</w:t>
      </w:r>
      <w:r>
        <w:t>n</w:t>
      </w:r>
      <w:r>
        <w:t xml:space="preserve">hold til dette. </w:t>
      </w:r>
    </w:p>
    <w:p w:rsidR="00AE1521" w:rsidP="00AE1521" w:rsidRDefault="00AE1521">
      <w:pPr>
        <w:jc w:val="both"/>
      </w:pPr>
    </w:p>
    <w:p w:rsidR="00AE1521" w:rsidP="00AE1521" w:rsidRDefault="00AE1521">
      <w:pPr>
        <w:jc w:val="both"/>
      </w:pPr>
      <w:r>
        <w:t xml:space="preserve">Selskabets korrigerede effektiviseringspotentiale er derfor fratrukket </w:t>
      </w:r>
      <w:r w:rsidR="00137229">
        <w:t>8</w:t>
      </w:r>
      <w:r w:rsidR="009B25D7">
        <w:t>,</w:t>
      </w:r>
      <w:r w:rsidR="00137229">
        <w:t>7</w:t>
      </w:r>
      <w:r>
        <w:t xml:space="preserve"> </w:t>
      </w:r>
      <w:r w:rsidRPr="009B25D7">
        <w:t>(</w:t>
      </w:r>
      <w:r w:rsidR="00A26A8F">
        <w:t>39,2 pct.</w:t>
      </w:r>
      <w:r w:rsidRPr="009B25D7">
        <w:t>*0,</w:t>
      </w:r>
      <w:r w:rsidRPr="009B25D7" w:rsidR="009B25D7">
        <w:t>2782</w:t>
      </w:r>
      <w:r w:rsidR="00137229">
        <w:t>*0,8</w:t>
      </w:r>
      <w:r w:rsidRPr="009B25D7">
        <w:t>)</w:t>
      </w:r>
      <w:r>
        <w:t xml:space="preserve"> procentpoint, som </w:t>
      </w:r>
      <w:r w:rsidRPr="006078A6">
        <w:t xml:space="preserve">beskrevet i bilag </w:t>
      </w:r>
      <w:r w:rsidR="009B25D7">
        <w:t>1</w:t>
      </w:r>
      <w:r w:rsidRPr="006078A6">
        <w:t>.</w:t>
      </w:r>
      <w:r>
        <w:t xml:space="preserve"> Selskabets korrigerede effektiviseringspotentiale udgør derfor </w:t>
      </w:r>
      <w:r w:rsidR="00C03D78">
        <w:t>19</w:t>
      </w:r>
      <w:r w:rsidRPr="004B52F1" w:rsidR="004B52F1">
        <w:t>,</w:t>
      </w:r>
      <w:r w:rsidR="00C03D78">
        <w:t>5</w:t>
      </w:r>
      <w:r w:rsidR="004B52F1">
        <w:t xml:space="preserve"> </w:t>
      </w:r>
      <w:r>
        <w:t>pct. (</w:t>
      </w:r>
      <w:r w:rsidR="004B52F1">
        <w:t>2</w:t>
      </w:r>
      <w:r w:rsidR="00C03D78">
        <w:t>8</w:t>
      </w:r>
      <w:r w:rsidR="004B52F1">
        <w:t>,</w:t>
      </w:r>
      <w:r w:rsidR="00C03D78">
        <w:t>2</w:t>
      </w:r>
      <w:r>
        <w:t xml:space="preserve"> pct. </w:t>
      </w:r>
      <w:r w:rsidR="009B25D7">
        <w:t>–</w:t>
      </w:r>
      <w:r>
        <w:t xml:space="preserve"> </w:t>
      </w:r>
      <w:r w:rsidR="00E73B00">
        <w:t>8,7</w:t>
      </w:r>
      <w:r>
        <w:t xml:space="preserve"> pct.).</w:t>
      </w:r>
    </w:p>
    <w:p w:rsidR="00AE1521" w:rsidP="00AE1521" w:rsidRDefault="00AE1521">
      <w:pPr>
        <w:jc w:val="both"/>
      </w:pPr>
    </w:p>
    <w:p w:rsidRPr="0025675A" w:rsidR="00AE1521" w:rsidP="00AE1521" w:rsidRDefault="00AE1521">
      <w:pPr>
        <w:jc w:val="both"/>
        <w:rPr>
          <w:color w:val="000000"/>
          <w:u w:val="single"/>
        </w:rPr>
      </w:pPr>
      <w:r w:rsidRPr="006078A6">
        <w:rPr>
          <w:u w:val="single"/>
        </w:rPr>
        <w:t>Samlet vurdering</w:t>
      </w:r>
      <w:r>
        <w:rPr>
          <w:u w:val="single"/>
        </w:rPr>
        <w:t xml:space="preserve"> af </w:t>
      </w:r>
      <w:r>
        <w:rPr>
          <w:color w:val="000000"/>
          <w:u w:val="single"/>
        </w:rPr>
        <w:t xml:space="preserve">individuelt </w:t>
      </w:r>
      <w:r w:rsidRPr="0025675A">
        <w:rPr>
          <w:color w:val="000000"/>
          <w:u w:val="single"/>
        </w:rPr>
        <w:t>effektiviseringskrav</w:t>
      </w:r>
    </w:p>
    <w:p w:rsidRPr="00371113" w:rsidR="00AE1521" w:rsidP="00AE1521" w:rsidRDefault="00AE1521">
      <w:pPr>
        <w:jc w:val="both"/>
      </w:pPr>
      <w:r>
        <w:t xml:space="preserve">Selskabets angivelser af særlige forhold vedrørende </w:t>
      </w:r>
      <w:r w:rsidRPr="00341AAA" w:rsidR="009B25D7">
        <w:rPr>
          <w:i/>
        </w:rPr>
        <w:t>drift af vagtordning, drift af olieudskillere, leje af arealer til regnvandsbassiner og leje af bygninger</w:t>
      </w:r>
      <w:r>
        <w:t xml:space="preserve"> </w:t>
      </w:r>
      <w:r w:rsidR="004B52F1">
        <w:t xml:space="preserve">samt selskabets indberetning vedrørende </w:t>
      </w:r>
      <w:r w:rsidRPr="004B52F1" w:rsidR="004B52F1">
        <w:rPr>
          <w:i/>
        </w:rPr>
        <w:t>tæthedskorrektion</w:t>
      </w:r>
      <w:r w:rsidR="004B52F1">
        <w:t xml:space="preserve"> </w:t>
      </w:r>
      <w:r>
        <w:t xml:space="preserve">har givet anledning til </w:t>
      </w:r>
      <w:r w:rsidRPr="00427DE9">
        <w:t>at ændre opgørelsen af selskabets effektivisering</w:t>
      </w:r>
      <w:r w:rsidRPr="00427DE9">
        <w:t>s</w:t>
      </w:r>
      <w:r w:rsidRPr="00427DE9">
        <w:t>potentiale</w:t>
      </w:r>
      <w:r w:rsidRPr="00BE697A">
        <w:t>,</w:t>
      </w:r>
      <w:r>
        <w:t xml:space="preserve"> som beskrevet i ovenstående. Selskabets sammensætning</w:t>
      </w:r>
      <w:r w:rsidRPr="00371113">
        <w:t xml:space="preserve"> af costdrivere har givet anledning til</w:t>
      </w:r>
      <w:r>
        <w:t>,</w:t>
      </w:r>
      <w:r w:rsidRPr="00371113">
        <w:t xml:space="preserve"> at selskabets korrigerede </w:t>
      </w:r>
      <w:r w:rsidRPr="009B25D7">
        <w:t>effektivis</w:t>
      </w:r>
      <w:r w:rsidRPr="009B25D7">
        <w:t>e</w:t>
      </w:r>
      <w:r w:rsidRPr="009B25D7">
        <w:t xml:space="preserve">ringspotentiale reduceres til </w:t>
      </w:r>
      <w:r w:rsidR="00C03D78">
        <w:t>19,5</w:t>
      </w:r>
      <w:r w:rsidRPr="004B52F1" w:rsidR="004B52F1">
        <w:t xml:space="preserve"> </w:t>
      </w:r>
      <w:r w:rsidRPr="009B25D7">
        <w:t>pct. Fastsættelsen af effektivisering</w:t>
      </w:r>
      <w:r w:rsidRPr="009B25D7">
        <w:t>s</w:t>
      </w:r>
      <w:r w:rsidRPr="009B25D7">
        <w:t>kravet for selska</w:t>
      </w:r>
      <w:r w:rsidRPr="009B25D7" w:rsidR="00980485">
        <w:t>bet</w:t>
      </w:r>
      <w:r w:rsidRPr="009B25D7">
        <w:t xml:space="preserve"> bliver derfor </w:t>
      </w:r>
      <w:r w:rsidR="00C03D78">
        <w:t>19,5</w:t>
      </w:r>
      <w:r w:rsidRPr="004B52F1" w:rsidR="004B52F1">
        <w:t xml:space="preserve"> </w:t>
      </w:r>
      <w:r w:rsidRPr="009B25D7">
        <w:t xml:space="preserve">/4 = </w:t>
      </w:r>
      <w:r w:rsidR="00C03D78">
        <w:t>4</w:t>
      </w:r>
      <w:r w:rsidRPr="009B25D7" w:rsidR="009B25D7">
        <w:t>,</w:t>
      </w:r>
      <w:r w:rsidR="00C03D78">
        <w:t>87</w:t>
      </w:r>
      <w:r w:rsidRPr="009B25D7">
        <w:t xml:space="preserve"> pct. Dette betyder, at se</w:t>
      </w:r>
      <w:r w:rsidRPr="009B25D7">
        <w:t>l</w:t>
      </w:r>
      <w:r w:rsidRPr="009B25D7">
        <w:t xml:space="preserve">skabet får et krav på </w:t>
      </w:r>
      <w:r w:rsidR="00C03D78">
        <w:t>4,87</w:t>
      </w:r>
      <w:r w:rsidRPr="009B25D7">
        <w:t xml:space="preserve"> pct.,</w:t>
      </w:r>
      <w:r>
        <w:t xml:space="preserve"> jf. </w:t>
      </w:r>
      <w:r w:rsidRPr="00095C60">
        <w:rPr>
          <w:i/>
        </w:rPr>
        <w:t>Resultatorienteret Benchmarking af vand- og spildevandsforsyningerne</w:t>
      </w:r>
      <w:r>
        <w:rPr>
          <w:i/>
        </w:rPr>
        <w:t xml:space="preserve"> - 2014</w:t>
      </w:r>
      <w:r w:rsidRPr="00095C60">
        <w:t>.</w:t>
      </w: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C03D78" w:rsidR="00C03D78">
        <w:t>1.365.119</w:t>
      </w:r>
      <w:r w:rsidR="00C03D78">
        <w:t xml:space="preserve"> </w:t>
      </w:r>
      <w:r>
        <w:rPr>
          <w:color w:val="000000"/>
        </w:rPr>
        <w:t xml:space="preserve">kr. jf. </w:t>
      </w:r>
      <w:r w:rsidRPr="00456381">
        <w:rPr>
          <w:color w:val="000000"/>
        </w:rPr>
        <w:t>bilag</w:t>
      </w:r>
      <w:r>
        <w:rPr>
          <w:color w:val="000000"/>
        </w:rPr>
        <w:t xml:space="preserve"> </w:t>
      </w:r>
      <w:r w:rsidR="00386DEF">
        <w:rPr>
          <w:color w:val="000000"/>
        </w:rPr>
        <w:t>3</w:t>
      </w:r>
      <w:r>
        <w:rPr>
          <w:color w:val="000000"/>
        </w:rPr>
        <w:t xml:space="preserve"> til modellen. Det betyder, at </w:t>
      </w:r>
      <w:r>
        <w:rPr>
          <w:color w:val="000000"/>
        </w:rPr>
        <w:lastRenderedPageBreak/>
        <w:t>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til </w:t>
      </w:r>
      <w:bookmarkStart w:name="IndiKrav" w:id="10"/>
      <w:r w:rsidRPr="00C03D78" w:rsidR="00C03D78">
        <w:t>341.280</w:t>
      </w:r>
      <w:bookmarkEnd w:id="10"/>
      <w:r>
        <w:rPr>
          <w:szCs w:val="24"/>
        </w:rPr>
        <w:t xml:space="preserve"> </w:t>
      </w:r>
      <w:r>
        <w:rPr>
          <w:color w:val="000000"/>
        </w:rPr>
        <w:t xml:space="preserve">kr., jf. </w:t>
      </w:r>
      <w:r w:rsidRPr="00456381">
        <w:rPr>
          <w:color w:val="000000"/>
        </w:rPr>
        <w:t>bilag</w:t>
      </w:r>
      <w:r>
        <w:rPr>
          <w:color w:val="000000"/>
        </w:rPr>
        <w:t xml:space="preserve"> </w:t>
      </w:r>
      <w:r w:rsidR="00386DEF">
        <w:rPr>
          <w:color w:val="000000"/>
        </w:rPr>
        <w:t>3</w:t>
      </w:r>
      <w:r>
        <w:rPr>
          <w:color w:val="000000"/>
        </w:rPr>
        <w:t xml:space="preserve"> til modellen.</w:t>
      </w:r>
    </w:p>
    <w:p w:rsidR="00244B2A" w:rsidP="001F00F2" w:rsidRDefault="00244B2A"/>
    <w:p w:rsidRPr="001775EF" w:rsidR="001775EF" w:rsidP="001F00F2" w:rsidRDefault="001775EF">
      <w:pPr>
        <w:rPr>
          <w:u w:val="single"/>
        </w:rPr>
      </w:pPr>
      <w:r w:rsidRPr="001775EF">
        <w:rPr>
          <w:u w:val="single"/>
        </w:rPr>
        <w:t>Høringssvar</w:t>
      </w:r>
    </w:p>
    <w:p w:rsidRPr="001775EF" w:rsidR="001775EF" w:rsidP="001775EF" w:rsidRDefault="001775EF">
      <w:pPr>
        <w:jc w:val="both"/>
      </w:pPr>
      <w:r w:rsidRPr="001775EF">
        <w:t>Selskabet henviser i høringsvaret til sit høringssvar af 4. oktober 2012 vedrørende prisloftet for 2013, hvor selskabet har afgivet bemærkninger vedrørende hjemmelsgrundlaget for fastsættelsen af effektiviseringskr</w:t>
      </w:r>
      <w:r w:rsidRPr="001775EF">
        <w:t>a</w:t>
      </w:r>
      <w:r w:rsidRPr="001775EF">
        <w:t xml:space="preserve">vet og vedrørende datagrundlaget. </w:t>
      </w:r>
    </w:p>
    <w:p w:rsidR="001775EF" w:rsidP="001775EF" w:rsidRDefault="001775EF">
      <w:pPr>
        <w:rPr>
          <w:i/>
        </w:rPr>
      </w:pPr>
    </w:p>
    <w:p w:rsidR="001775EF" w:rsidP="001775EF" w:rsidRDefault="001775EF">
      <w:pPr>
        <w:jc w:val="both"/>
      </w:pPr>
      <w:r>
        <w:t>Forsyningssekretariatet henviser i den forbindelse til sekretariatets b</w:t>
      </w:r>
      <w:r>
        <w:t>e</w:t>
      </w:r>
      <w:r>
        <w:t xml:space="preserve">mærkninger, som fremgår af prisloftet for 2013. </w:t>
      </w:r>
      <w:r w:rsidR="0054458C">
        <w:t>Dog bemærkes det, at spildevandsforsyningerne i forbindelse med benchmarkingen for 2014 får tillagt 20 pct. af deres driftsomkostninger i prisloftet til deres netv</w:t>
      </w:r>
      <w:r w:rsidR="0054458C">
        <w:t>o</w:t>
      </w:r>
      <w:r w:rsidR="0054458C">
        <w:t xml:space="preserve">lumenmål. </w:t>
      </w:r>
    </w:p>
    <w:p w:rsidR="001775EF" w:rsidP="001F00F2" w:rsidRDefault="001775EF"/>
    <w:p w:rsidR="00B007F9" w:rsidP="00B007F9" w:rsidRDefault="00B007F9">
      <w:pPr>
        <w:jc w:val="both"/>
      </w:pPr>
      <w:r>
        <w:t>Forsyningssekretariatet henviser i øvrigt til hovedpapiret ”Resultatorie</w:t>
      </w:r>
      <w:r>
        <w:t>n</w:t>
      </w:r>
      <w:r>
        <w:t>teret benchmarking af vand- og spildevandsforsyningerne 2014” med ti</w:t>
      </w:r>
      <w:r>
        <w:t>l</w:t>
      </w:r>
      <w:r>
        <w:t>hørende bilag for en nærmere redegørelse af beregningen af selskabets effektiviseringskrav.</w:t>
      </w:r>
    </w:p>
    <w:p w:rsidR="00B007F9" w:rsidP="001F00F2" w:rsidRDefault="00B007F9"/>
    <w:p w:rsidRPr="001F00F2" w:rsidR="001775EF" w:rsidP="001F00F2" w:rsidRDefault="001775EF"/>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xml:space="preserve">. Hvis dette er tilfældet, </w:t>
      </w:r>
      <w:r w:rsidRPr="00B82DF3">
        <w:lastRenderedPageBreak/>
        <w:t>vil det fremgå af afsnittet ”Korrektion for overholdelse af indtægtsramme i prisloft 201</w:t>
      </w:r>
      <w:r>
        <w:t>2</w:t>
      </w:r>
      <w:r w:rsidRPr="00B82DF3">
        <w:t>” nedenfor.</w:t>
      </w:r>
      <w:r>
        <w:t xml:space="preserve">   </w:t>
      </w:r>
    </w:p>
    <w:p w:rsidR="00AE1521" w:rsidP="00AE1521" w:rsidRDefault="00AE1521">
      <w:pPr>
        <w:jc w:val="both"/>
      </w:pPr>
    </w:p>
    <w:p w:rsidRPr="001F00F2" w:rsidR="00AE1521" w:rsidP="00AE1521" w:rsidRDefault="00AE1521">
      <w:pPr>
        <w:rPr>
          <w:b/>
          <w:szCs w:val="24"/>
        </w:rPr>
      </w:pPr>
      <w:r w:rsidRPr="001F00F2">
        <w:rPr>
          <w:b/>
          <w:szCs w:val="24"/>
        </w:rPr>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00AE1521" w:rsidP="00AE1521" w:rsidRDefault="00AE1521">
      <w:pPr>
        <w:jc w:val="both"/>
      </w:pPr>
      <w:r>
        <w:t xml:space="preserve">Værdien af de materielle anlægsaktiver pr. 1. januar 2010 udgør </w:t>
      </w:r>
      <w:r w:rsidR="008B6647">
        <w:t>398.268.517</w:t>
      </w:r>
      <w:r>
        <w:t xml:space="preserve"> kr. De årlige standardafskrivninger på de materielle anlæg</w:t>
      </w:r>
      <w:r>
        <w:t>s</w:t>
      </w:r>
      <w:r>
        <w:t xml:space="preserve">aktiver (på værdien </w:t>
      </w:r>
      <w:r w:rsidR="008B6647">
        <w:t>398.268.517</w:t>
      </w:r>
      <w:r>
        <w:t xml:space="preserve"> kr.) udgør ifølge pris- og levetidskat</w:t>
      </w:r>
      <w:r>
        <w:t>a</w:t>
      </w:r>
      <w:r>
        <w:t xml:space="preserve">loget </w:t>
      </w:r>
      <w:r w:rsidR="008B6647">
        <w:t>9.384.662</w:t>
      </w:r>
      <w:r w:rsidR="00D74B3F">
        <w:t xml:space="preserve"> kr.</w:t>
      </w:r>
    </w:p>
    <w:p w:rsidRPr="008B6647" w:rsidR="00AE1521" w:rsidP="00AE1521" w:rsidRDefault="00AE1521">
      <w:pPr>
        <w:jc w:val="both"/>
      </w:pPr>
      <w:r>
        <w:t xml:space="preserve">Forsyningssekretariatet har lagt selskabets indsendte åbningsbalance, dokumentation samt eventuelle ændringer </w:t>
      </w:r>
      <w:r w:rsidRPr="008B6647">
        <w:t xml:space="preserve">hertil til grund, og selskabet opnår således et tillæg for historiske investeringer på </w:t>
      </w:r>
      <w:bookmarkStart w:name="HistInv" w:id="11"/>
      <w:r w:rsidRPr="008B6647" w:rsidR="008B6647">
        <w:t>9.384.662</w:t>
      </w:r>
      <w:bookmarkEnd w:id="11"/>
      <w:r w:rsidRPr="008B6647">
        <w:t xml:space="preserve"> kr.</w:t>
      </w:r>
    </w:p>
    <w:p w:rsidRPr="008B6647" w:rsidR="00AE1521" w:rsidP="00AE1521" w:rsidRDefault="00AE1521">
      <w:pPr>
        <w:rPr>
          <w:b/>
          <w:szCs w:val="24"/>
        </w:rPr>
      </w:pPr>
    </w:p>
    <w:p w:rsidRPr="001F00F2" w:rsidR="00AE1521" w:rsidP="00AE1521" w:rsidRDefault="00AE1521">
      <w:pPr>
        <w:rPr>
          <w:b/>
          <w:szCs w:val="24"/>
        </w:rPr>
      </w:pPr>
      <w:r w:rsidRPr="008B6647">
        <w:rPr>
          <w:b/>
          <w:szCs w:val="24"/>
        </w:rPr>
        <w:t>Tillæg for gennemførte investeringer i 2012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8B6647">
        <w:t>494.629</w:t>
      </w:r>
      <w:r>
        <w:t xml:space="preserve"> kr. </w:t>
      </w:r>
    </w:p>
    <w:p w:rsidR="00AE1521" w:rsidP="00AE1521" w:rsidRDefault="00AE1521">
      <w:pPr>
        <w:jc w:val="both"/>
      </w:pPr>
    </w:p>
    <w:p w:rsidR="00AE1521" w:rsidP="00AE1521" w:rsidRDefault="00AE1521">
      <w:pPr>
        <w:autoSpaceDE w:val="0"/>
        <w:autoSpaceDN w:val="0"/>
        <w:adjustRightInd w:val="0"/>
        <w:jc w:val="both"/>
      </w:pPr>
      <w:r>
        <w:t>Nedenfor følger en oversigt over selskabets indberettede gennemførte investeringer i 2012:</w:t>
      </w:r>
    </w:p>
    <w:p w:rsidR="002346ED" w:rsidRDefault="002346ED">
      <w:pPr>
        <w:spacing w:line="240" w:lineRule="auto"/>
      </w:pPr>
      <w:r>
        <w:br w:type="page"/>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A04EAF" w:rsidR="00A04EAF" w:rsidTr="00A04EAF">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A04EAF" w:rsidR="00A04EAF" w:rsidP="00A04EAF" w:rsidRDefault="00A04EAF">
            <w:pPr>
              <w:spacing w:line="240" w:lineRule="auto"/>
              <w:jc w:val="center"/>
              <w:rPr>
                <w:b/>
                <w:bCs/>
                <w:color w:val="FFFFFF"/>
                <w:sz w:val="20"/>
              </w:rPr>
            </w:pPr>
            <w:r w:rsidRPr="00A04EAF">
              <w:rPr>
                <w:b/>
                <w:bCs/>
                <w:color w:val="FFFFFF"/>
                <w:sz w:val="20"/>
              </w:rPr>
              <w:lastRenderedPageBreak/>
              <w:t xml:space="preserve">Glostrup Spildevand A/S </w:t>
            </w:r>
          </w:p>
        </w:tc>
      </w:tr>
      <w:tr w:rsidRPr="00A04EAF" w:rsidR="00A04EAF" w:rsidTr="003E42C2">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center"/>
              <w:rPr>
                <w:b/>
                <w:bCs/>
                <w:color w:val="000000"/>
                <w:sz w:val="20"/>
              </w:rPr>
            </w:pPr>
            <w:r w:rsidRPr="00A04EAF">
              <w:rPr>
                <w:b/>
                <w:bCs/>
                <w:color w:val="000000"/>
                <w:sz w:val="20"/>
              </w:rPr>
              <w:t xml:space="preserve"> Beskrivelse af investeri</w:t>
            </w:r>
            <w:r w:rsidRPr="00A04EAF">
              <w:rPr>
                <w:b/>
                <w:bCs/>
                <w:color w:val="000000"/>
                <w:sz w:val="20"/>
              </w:rPr>
              <w:t>n</w:t>
            </w:r>
            <w:r w:rsidRPr="00A04EAF">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center"/>
              <w:rPr>
                <w:b/>
                <w:bCs/>
                <w:color w:val="000000"/>
                <w:sz w:val="20"/>
              </w:rPr>
            </w:pPr>
            <w:r w:rsidRPr="00A04EAF">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center"/>
              <w:rPr>
                <w:b/>
                <w:bCs/>
                <w:color w:val="000000"/>
                <w:sz w:val="20"/>
              </w:rPr>
            </w:pPr>
            <w:r w:rsidRPr="00A04EAF">
              <w:rPr>
                <w:b/>
                <w:bCs/>
                <w:color w:val="000000"/>
                <w:sz w:val="20"/>
              </w:rPr>
              <w:t xml:space="preserve"> Standardlev</w:t>
            </w:r>
            <w:r w:rsidRPr="00A04EAF">
              <w:rPr>
                <w:b/>
                <w:bCs/>
                <w:color w:val="000000"/>
                <w:sz w:val="20"/>
              </w:rPr>
              <w:t>e</w:t>
            </w:r>
            <w:r w:rsidRPr="00A04EAF">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center"/>
              <w:rPr>
                <w:b/>
                <w:bCs/>
                <w:color w:val="000000"/>
                <w:sz w:val="20"/>
              </w:rPr>
            </w:pPr>
            <w:r w:rsidRPr="00A04EAF">
              <w:rPr>
                <w:b/>
                <w:bCs/>
                <w:color w:val="000000"/>
                <w:sz w:val="20"/>
              </w:rPr>
              <w:t xml:space="preserve"> Anskaffelse</w:t>
            </w:r>
            <w:r w:rsidRPr="00A04EAF">
              <w:rPr>
                <w:b/>
                <w:bCs/>
                <w:color w:val="000000"/>
                <w:sz w:val="20"/>
              </w:rPr>
              <w:t>s</w:t>
            </w:r>
            <w:r w:rsidRPr="00A04EAF">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A04EAF" w:rsidR="00A04EAF" w:rsidP="00A04EAF" w:rsidRDefault="00A04EAF">
            <w:pPr>
              <w:spacing w:line="240" w:lineRule="auto"/>
              <w:jc w:val="center"/>
              <w:rPr>
                <w:b/>
                <w:bCs/>
                <w:color w:val="000000"/>
                <w:sz w:val="20"/>
              </w:rPr>
            </w:pPr>
            <w:r w:rsidRPr="00A04EAF">
              <w:rPr>
                <w:b/>
                <w:bCs/>
                <w:color w:val="000000"/>
                <w:sz w:val="20"/>
              </w:rPr>
              <w:t xml:space="preserve"> Afskri</w:t>
            </w:r>
            <w:r w:rsidRPr="00A04EAF">
              <w:rPr>
                <w:b/>
                <w:bCs/>
                <w:color w:val="000000"/>
                <w:sz w:val="20"/>
              </w:rPr>
              <w:t>v</w:t>
            </w:r>
            <w:r w:rsidRPr="00A04EAF">
              <w:rPr>
                <w:b/>
                <w:bCs/>
                <w:color w:val="000000"/>
                <w:sz w:val="20"/>
              </w:rPr>
              <w:t xml:space="preserve">ning (i kr.)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58.272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777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1.030.595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13.741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Strømpeforing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1.119.131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22.383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57.082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1.142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232.776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3.104 </w:t>
            </w:r>
          </w:p>
        </w:tc>
      </w:tr>
      <w:tr w:rsidRPr="00A04EAF" w:rsidR="00A04EAF" w:rsidTr="003E42C2">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rPr>
                <w:color w:val="000000"/>
                <w:sz w:val="20"/>
              </w:rPr>
            </w:pPr>
            <w:r w:rsidRPr="00A04EAF">
              <w:rPr>
                <w:color w:val="000000"/>
                <w:sz w:val="20"/>
              </w:rPr>
              <w:t xml:space="preserve"> Olieudskillere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7.217.116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A04EAF" w:rsidR="00A04EAF" w:rsidP="00A04EAF" w:rsidRDefault="00A04EAF">
            <w:pPr>
              <w:spacing w:line="240" w:lineRule="auto"/>
              <w:jc w:val="right"/>
              <w:rPr>
                <w:color w:val="000000"/>
                <w:sz w:val="20"/>
              </w:rPr>
            </w:pPr>
            <w:r w:rsidRPr="00A04EAF">
              <w:rPr>
                <w:color w:val="000000"/>
                <w:sz w:val="20"/>
              </w:rPr>
              <w:t xml:space="preserve">       144.342 </w:t>
            </w:r>
          </w:p>
        </w:tc>
      </w:tr>
      <w:tr w:rsidRPr="00A04EAF" w:rsidR="00A04EAF" w:rsidTr="003E42C2">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A04EAF" w:rsidR="00A04EAF" w:rsidP="00D74B3F" w:rsidRDefault="00A04EAF">
            <w:pPr>
              <w:spacing w:line="240" w:lineRule="auto"/>
              <w:rPr>
                <w:b/>
                <w:bCs/>
                <w:color w:val="FFFFFF"/>
                <w:sz w:val="20"/>
              </w:rPr>
            </w:pPr>
            <w:r w:rsidRPr="00A04EAF">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A04EAF" w:rsidR="00A04EAF" w:rsidP="00A04EAF" w:rsidRDefault="00A04EAF">
            <w:pPr>
              <w:spacing w:line="240" w:lineRule="auto"/>
              <w:jc w:val="center"/>
              <w:rPr>
                <w:b/>
                <w:bCs/>
                <w:color w:val="FFFFFF"/>
                <w:sz w:val="20"/>
              </w:rPr>
            </w:pPr>
            <w:r w:rsidRPr="00A04EAF">
              <w:rPr>
                <w:b/>
                <w:bCs/>
                <w:color w:val="FFFFFF"/>
                <w:sz w:val="20"/>
              </w:rPr>
              <w:t xml:space="preserve">     185.488 </w:t>
            </w:r>
          </w:p>
        </w:tc>
      </w:tr>
    </w:tbl>
    <w:p w:rsidRPr="00652708" w:rsidR="00AE1521" w:rsidP="008B6647" w:rsidRDefault="00AE1521">
      <w:pPr>
        <w:rPr>
          <w:sz w:val="20"/>
        </w:rPr>
      </w:pPr>
    </w:p>
    <w:p w:rsidR="00A04EAF" w:rsidP="00A04EAF" w:rsidRDefault="00A04EAF">
      <w:pPr>
        <w:autoSpaceDE w:val="0"/>
        <w:autoSpaceDN w:val="0"/>
        <w:adjustRightInd w:val="0"/>
        <w:jc w:val="both"/>
      </w:pPr>
      <w:r>
        <w:t>Selskabet har i forbindelse med indberetningen til prisloftet for 2014, a</w:t>
      </w:r>
      <w:r>
        <w:t>n</w:t>
      </w:r>
      <w:r>
        <w:t>søgt om godkendelse af anskaffelse af olieudskillere som et øvrigt aktiv. Forsyningssekretariatet har godkendt investeringerne som tillægsberett</w:t>
      </w:r>
      <w:r>
        <w:t>i</w:t>
      </w:r>
      <w:r>
        <w:t xml:space="preserve">get og </w:t>
      </w:r>
      <w:r w:rsidR="00B97AC4">
        <w:t xml:space="preserve">har </w:t>
      </w:r>
      <w:r>
        <w:t xml:space="preserve">fastsat levetiden til 50 år.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4D23A0">
        <w:t>15. april 2013</w:t>
      </w:r>
      <w:r>
        <w:t>, vurderet de indberettede gennemførte invest</w:t>
      </w:r>
      <w:r>
        <w:t>e</w:t>
      </w:r>
      <w:r>
        <w:t xml:space="preserve">ringer i 2012 som tillægsberettigede. Som følge heraf modtager selskabet et tillæg for gennemførte investeringer baseret på standardlevetider i 2012 på </w:t>
      </w:r>
      <w:r w:rsidR="00720537">
        <w:t>185.488</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4D23A0">
        <w:t>Selskabets samlede tillæg for gennemførte investeringer i 2010, 2011 og 2012 baseret på standardlevetider udgør [</w:t>
      </w:r>
      <w:r w:rsidRPr="004D23A0" w:rsidR="004D23A0">
        <w:t xml:space="preserve">59.544 </w:t>
      </w:r>
      <w:r w:rsidRPr="004D23A0">
        <w:t>+</w:t>
      </w:r>
      <w:r w:rsidR="00A04EAF">
        <w:t xml:space="preserve"> 435.085 + 185.488</w:t>
      </w:r>
      <w:r w:rsidRPr="004D23A0">
        <w:t xml:space="preserve"> kr.]. Som følge heraf modtager selskabet et tillæg for gennemførte inv</w:t>
      </w:r>
      <w:r w:rsidRPr="004D23A0">
        <w:t>e</w:t>
      </w:r>
      <w:r w:rsidRPr="004D23A0">
        <w:t xml:space="preserve">steringer i prisloftet for 2014 på </w:t>
      </w:r>
      <w:bookmarkStart w:name="GenfInv" w:id="12"/>
      <w:r w:rsidR="00A04EAF">
        <w:t>680.117</w:t>
      </w:r>
      <w:bookmarkEnd w:id="12"/>
      <w:r w:rsidRPr="004D23A0">
        <w:t xml:space="preserve"> kr. svarende</w:t>
      </w:r>
      <w:r>
        <w:t xml:space="preserv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givet i prisloftet for 2012 og i prisloftet for 2013.</w:t>
      </w:r>
    </w:p>
    <w:p w:rsidR="00C21A4A" w:rsidP="00AE1521" w:rsidRDefault="00AE1521">
      <w:pPr>
        <w:autoSpaceDE w:val="0"/>
        <w:autoSpaceDN w:val="0"/>
        <w:adjustRightInd w:val="0"/>
        <w:jc w:val="both"/>
      </w:pPr>
      <w:r w:rsidRPr="00F844E0">
        <w:lastRenderedPageBreak/>
        <w:t>Selskabet fik i prisloftet for 2012 et</w:t>
      </w:r>
      <w:r w:rsidRPr="00F844E0" w:rsidR="004D23A0">
        <w:t xml:space="preserve"> </w:t>
      </w:r>
      <w:r w:rsidRPr="00F844E0">
        <w:t xml:space="preserve">tillæg for planlagte investeringer i 2012 på i alt </w:t>
      </w:r>
      <w:r w:rsidRPr="00F844E0" w:rsidR="004D23A0">
        <w:t>63.180</w:t>
      </w:r>
      <w:r w:rsidRPr="00F844E0">
        <w:t xml:space="preserve"> kr. Selskabet fik i prisloftet for 2013 et tillæg for planlagte investeringer i 2012 på i alt </w:t>
      </w:r>
      <w:r w:rsidRPr="00F844E0" w:rsidR="00F844E0">
        <w:t>109.124</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965142">
        <w:t xml:space="preserve">Det fremgår i </w:t>
      </w:r>
      <w:r w:rsidRPr="00F844E0">
        <w:t>afsnittet ovenfor, at selskabets afskrivninger på genne</w:t>
      </w:r>
      <w:r w:rsidRPr="00F844E0">
        <w:t>m</w:t>
      </w:r>
      <w:r w:rsidRPr="00F844E0">
        <w:t xml:space="preserve">førte investeringer i 2012 er på </w:t>
      </w:r>
      <w:r w:rsidR="006B2498">
        <w:t>185.488</w:t>
      </w:r>
      <w:r w:rsidRPr="00F844E0">
        <w:t xml:space="preserve"> kr. Korrektionen i prisloftet for 2014 bliver således </w:t>
      </w:r>
      <w:bookmarkStart w:name="KorrInv" w:id="13"/>
      <w:r w:rsidR="006B2498">
        <w:t>198.672</w:t>
      </w:r>
      <w:bookmarkEnd w:id="13"/>
      <w:r w:rsidRPr="00F844E0">
        <w:t xml:space="preserve"> kr. (</w:t>
      </w:r>
      <w:r w:rsidR="006B2498">
        <w:t>185.488</w:t>
      </w:r>
      <w:r w:rsidRPr="00F844E0">
        <w:t xml:space="preserve"> kr. – </w:t>
      </w:r>
      <w:r w:rsidRPr="00F844E0" w:rsidR="00F844E0">
        <w:t>63.180</w:t>
      </w:r>
      <w:r w:rsidRPr="00F844E0">
        <w:t xml:space="preserve"> kr. + </w:t>
      </w:r>
      <w:r w:rsidR="006B2498">
        <w:t>185.488</w:t>
      </w:r>
      <w:r w:rsidRPr="00F844E0">
        <w:t xml:space="preserve"> kr. – </w:t>
      </w:r>
      <w:r w:rsidRPr="00F844E0" w:rsidR="00F844E0">
        <w:t>109.124</w:t>
      </w:r>
      <w:r w:rsidRPr="00F844E0">
        <w:t xml:space="preserve"> kr.)</w:t>
      </w:r>
    </w:p>
    <w:p w:rsidRPr="001F00F2" w:rsidR="00AE1521" w:rsidP="00AE1521" w:rsidRDefault="00AE1521"/>
    <w:p w:rsidRPr="001F00F2" w:rsidR="00AE1521" w:rsidP="00AE1521" w:rsidRDefault="00AE1521">
      <w:pPr>
        <w:rPr>
          <w:b/>
          <w:szCs w:val="24"/>
        </w:rPr>
      </w:pPr>
      <w:r w:rsidRPr="001F00F2">
        <w:rPr>
          <w:b/>
          <w:szCs w:val="24"/>
        </w:rPr>
        <w:t>Tillæg fo</w:t>
      </w:r>
      <w:r>
        <w:rPr>
          <w:b/>
          <w:szCs w:val="24"/>
        </w:rPr>
        <w:t>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386B2B" w:rsidP="00AE1521" w:rsidRDefault="00386B2B">
      <w:pPr>
        <w:jc w:val="both"/>
      </w:pPr>
    </w:p>
    <w:p w:rsidR="00AE1521" w:rsidP="00AE1521" w:rsidRDefault="00AE1521">
      <w:pPr>
        <w:jc w:val="both"/>
      </w:pPr>
      <w:r>
        <w:t>Nedenfor følger en oversigt over selskabets indberettede planlagte inv</w:t>
      </w:r>
      <w:r>
        <w:t>e</w:t>
      </w:r>
      <w:r>
        <w:t>steringer for årene 2013 og 2014:</w:t>
      </w:r>
    </w:p>
    <w:p w:rsidR="003E42C2" w:rsidRDefault="003E42C2">
      <w:r>
        <w:br w:type="page"/>
      </w: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386B2B" w:rsidR="00386B2B" w:rsidTr="00386B2B">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386B2B" w:rsidR="00386B2B" w:rsidP="00386B2B" w:rsidRDefault="00386B2B">
            <w:pPr>
              <w:spacing w:line="240" w:lineRule="auto"/>
              <w:jc w:val="center"/>
              <w:rPr>
                <w:b/>
                <w:bCs/>
                <w:color w:val="FFFFFF"/>
                <w:sz w:val="20"/>
              </w:rPr>
            </w:pPr>
            <w:r w:rsidRPr="00386B2B">
              <w:rPr>
                <w:b/>
                <w:bCs/>
                <w:color w:val="FFFFFF"/>
                <w:sz w:val="20"/>
              </w:rPr>
              <w:lastRenderedPageBreak/>
              <w:t xml:space="preserve">Glostrup Spildevand A/S </w:t>
            </w:r>
          </w:p>
        </w:tc>
      </w:tr>
      <w:tr w:rsidRPr="00386B2B" w:rsidR="00386B2B" w:rsidTr="002346ED">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center"/>
              <w:rPr>
                <w:b/>
                <w:bCs/>
                <w:color w:val="000000"/>
                <w:sz w:val="20"/>
              </w:rPr>
            </w:pPr>
            <w:r w:rsidRPr="00386B2B">
              <w:rPr>
                <w:b/>
                <w:bCs/>
                <w:color w:val="000000"/>
                <w:sz w:val="20"/>
              </w:rPr>
              <w:t xml:space="preserve"> Beskrivelse af investeri</w:t>
            </w:r>
            <w:r w:rsidRPr="00386B2B">
              <w:rPr>
                <w:b/>
                <w:bCs/>
                <w:color w:val="000000"/>
                <w:sz w:val="20"/>
              </w:rPr>
              <w:t>n</w:t>
            </w:r>
            <w:r w:rsidRPr="00386B2B">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center"/>
              <w:rPr>
                <w:b/>
                <w:bCs/>
                <w:color w:val="000000"/>
                <w:sz w:val="20"/>
              </w:rPr>
            </w:pPr>
            <w:r w:rsidRPr="00386B2B">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center"/>
              <w:rPr>
                <w:b/>
                <w:bCs/>
                <w:color w:val="000000"/>
                <w:sz w:val="20"/>
              </w:rPr>
            </w:pPr>
            <w:r w:rsidRPr="00386B2B">
              <w:rPr>
                <w:b/>
                <w:bCs/>
                <w:color w:val="000000"/>
                <w:sz w:val="20"/>
              </w:rPr>
              <w:t xml:space="preserve"> Standardlev</w:t>
            </w:r>
            <w:r w:rsidRPr="00386B2B">
              <w:rPr>
                <w:b/>
                <w:bCs/>
                <w:color w:val="000000"/>
                <w:sz w:val="20"/>
              </w:rPr>
              <w:t>e</w:t>
            </w:r>
            <w:r w:rsidRPr="00386B2B">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center"/>
              <w:rPr>
                <w:b/>
                <w:bCs/>
                <w:color w:val="000000"/>
                <w:sz w:val="20"/>
              </w:rPr>
            </w:pPr>
            <w:r w:rsidRPr="00386B2B">
              <w:rPr>
                <w:b/>
                <w:bCs/>
                <w:color w:val="000000"/>
                <w:sz w:val="20"/>
              </w:rPr>
              <w:t xml:space="preserve"> Anskaffelse</w:t>
            </w:r>
            <w:r w:rsidRPr="00386B2B">
              <w:rPr>
                <w:b/>
                <w:bCs/>
                <w:color w:val="000000"/>
                <w:sz w:val="20"/>
              </w:rPr>
              <w:t>s</w:t>
            </w:r>
            <w:r w:rsidRPr="00386B2B">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386B2B" w:rsidR="00386B2B" w:rsidP="00386B2B" w:rsidRDefault="00386B2B">
            <w:pPr>
              <w:spacing w:line="240" w:lineRule="auto"/>
              <w:jc w:val="center"/>
              <w:rPr>
                <w:b/>
                <w:bCs/>
                <w:color w:val="000000"/>
                <w:sz w:val="20"/>
              </w:rPr>
            </w:pPr>
            <w:r w:rsidRPr="00386B2B">
              <w:rPr>
                <w:b/>
                <w:bCs/>
                <w:color w:val="000000"/>
                <w:sz w:val="20"/>
              </w:rPr>
              <w:t xml:space="preserve"> Afskri</w:t>
            </w:r>
            <w:r w:rsidRPr="00386B2B">
              <w:rPr>
                <w:b/>
                <w:bCs/>
                <w:color w:val="000000"/>
                <w:sz w:val="20"/>
              </w:rPr>
              <w:t>v</w:t>
            </w:r>
            <w:r w:rsidRPr="00386B2B">
              <w:rPr>
                <w:b/>
                <w:bCs/>
                <w:color w:val="000000"/>
                <w:sz w:val="20"/>
              </w:rPr>
              <w:t xml:space="preserve">ning (i kr.)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 Ø 200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3.065.680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61.314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1.839.408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36.788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Ø 500 mm &lt; Ledningsnet = Ø 800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613.136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12.263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Ø 800 mm &lt; Ledningsnet = Ø 1000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613.136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12.263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482.982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6.440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253.608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5.072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84.536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1.127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1.667.718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33.354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555.906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7.412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159.600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3.192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53.200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709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206.520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4.130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68.840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918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1.351.470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27.029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450.490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6.007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 Ø 200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60.000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00DF26F5" w:rsidP="00386B2B" w:rsidRDefault="00DF26F5">
            <w:pPr>
              <w:spacing w:line="240" w:lineRule="auto"/>
              <w:rPr>
                <w:color w:val="000000"/>
                <w:sz w:val="20"/>
              </w:rPr>
            </w:pPr>
          </w:p>
          <w:p w:rsidRPr="00386B2B" w:rsidR="00386B2B" w:rsidP="00386B2B" w:rsidRDefault="00386B2B">
            <w:pPr>
              <w:spacing w:line="240" w:lineRule="auto"/>
              <w:rPr>
                <w:color w:val="000000"/>
                <w:sz w:val="20"/>
              </w:rPr>
            </w:pPr>
            <w:r w:rsidRPr="00386B2B">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00DF26F5" w:rsidP="00386B2B" w:rsidRDefault="00DF26F5">
            <w:pPr>
              <w:spacing w:line="240" w:lineRule="auto"/>
              <w:jc w:val="right"/>
              <w:rPr>
                <w:color w:val="000000"/>
                <w:sz w:val="20"/>
              </w:rPr>
            </w:pPr>
          </w:p>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00DF26F5" w:rsidP="00386B2B" w:rsidRDefault="00DF26F5">
            <w:pPr>
              <w:spacing w:line="240" w:lineRule="auto"/>
              <w:jc w:val="right"/>
              <w:rPr>
                <w:color w:val="000000"/>
                <w:sz w:val="20"/>
              </w:rPr>
            </w:pPr>
          </w:p>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1.800.000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36.000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Ø 500 mm &lt; Ledningsnet = Ø 800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12.000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Strømpeforing Ø 800 mm &lt; Ledningsnet = Ø 1000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12.000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262.500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5.250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87.500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1.167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3.075.000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61.500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1.025.000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13.667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5.775.000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115.500 </w:t>
            </w:r>
          </w:p>
        </w:tc>
      </w:tr>
      <w:tr w:rsidRPr="00386B2B" w:rsidR="00386B2B" w:rsidTr="002346ED">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rPr>
                <w:color w:val="000000"/>
                <w:sz w:val="20"/>
              </w:rPr>
            </w:pPr>
            <w:r w:rsidRPr="00386B2B">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1.925.000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386B2B" w:rsidR="00386B2B" w:rsidP="00386B2B" w:rsidRDefault="00386B2B">
            <w:pPr>
              <w:spacing w:line="240" w:lineRule="auto"/>
              <w:jc w:val="right"/>
              <w:rPr>
                <w:color w:val="000000"/>
                <w:sz w:val="20"/>
              </w:rPr>
            </w:pPr>
            <w:r w:rsidRPr="00386B2B">
              <w:rPr>
                <w:color w:val="000000"/>
                <w:sz w:val="20"/>
              </w:rPr>
              <w:t xml:space="preserve">            25.667 </w:t>
            </w:r>
          </w:p>
        </w:tc>
      </w:tr>
      <w:tr w:rsidRPr="00386B2B" w:rsidR="00386B2B" w:rsidTr="002346ED">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386B2B" w:rsidR="00386B2B" w:rsidP="00386B2B" w:rsidRDefault="00386B2B">
            <w:pPr>
              <w:spacing w:line="240" w:lineRule="auto"/>
              <w:jc w:val="right"/>
              <w:rPr>
                <w:b/>
                <w:bCs/>
                <w:color w:val="FFFFFF"/>
                <w:sz w:val="20"/>
              </w:rPr>
            </w:pPr>
            <w:r w:rsidRPr="00386B2B">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386B2B" w:rsidR="00386B2B" w:rsidP="00386B2B" w:rsidRDefault="00386B2B">
            <w:pPr>
              <w:spacing w:line="240" w:lineRule="auto"/>
              <w:jc w:val="center"/>
              <w:rPr>
                <w:b/>
                <w:bCs/>
                <w:color w:val="FFFFFF"/>
                <w:sz w:val="20"/>
              </w:rPr>
            </w:pPr>
            <w:r w:rsidRPr="00386B2B">
              <w:rPr>
                <w:b/>
                <w:bCs/>
                <w:color w:val="FFFFFF"/>
                <w:sz w:val="20"/>
              </w:rPr>
              <w:t xml:space="preserve">       560.768 </w:t>
            </w:r>
          </w:p>
        </w:tc>
      </w:tr>
    </w:tbl>
    <w:p w:rsidR="00386B2B" w:rsidP="00AE1521" w:rsidRDefault="00386B2B">
      <w:pPr>
        <w:autoSpaceDE w:val="0"/>
        <w:autoSpaceDN w:val="0"/>
        <w:adjustRightInd w:val="0"/>
        <w:jc w:val="both"/>
        <w:rPr>
          <w:sz w:val="20"/>
        </w:rPr>
      </w:pPr>
    </w:p>
    <w:p w:rsidR="00AE1521" w:rsidP="00AE1521" w:rsidRDefault="00AE1521">
      <w:pPr>
        <w:autoSpaceDE w:val="0"/>
        <w:autoSpaceDN w:val="0"/>
        <w:adjustRightInd w:val="0"/>
        <w:jc w:val="both"/>
      </w:pPr>
      <w:r>
        <w:lastRenderedPageBreak/>
        <w:t>Forsyningssekretariatet har på basis af selskabets indberettede planlagte investeringer for årene 2013 samt 2014 vurderet de indberettede planla</w:t>
      </w:r>
      <w:r>
        <w:t>g</w:t>
      </w:r>
      <w:r w:rsidRPr="00427DE9">
        <w:t xml:space="preserve">te investeringer som tillægsberettigede. </w:t>
      </w:r>
      <w:r w:rsidRPr="00F844E0">
        <w:t>Som følge heraf modtager se</w:t>
      </w:r>
      <w:r w:rsidRPr="00F844E0">
        <w:t>l</w:t>
      </w:r>
      <w:r w:rsidRPr="00F844E0">
        <w:t xml:space="preserve">skabet et tillæg for planlagte investeringer på </w:t>
      </w:r>
      <w:bookmarkStart w:name="PlanInv" w:id="14"/>
      <w:r w:rsidR="00386B2B">
        <w:t>560.768</w:t>
      </w:r>
      <w:bookmarkEnd w:id="14"/>
      <w:r w:rsidRPr="00F844E0">
        <w:t xml:space="preserve"> kr. svarende til summen af standardafskrivningerne i 2014 på de planlagte investeringer i årene 2013 samt 2014.</w:t>
      </w:r>
    </w:p>
    <w:p w:rsidR="00422348" w:rsidP="00422348" w:rsidRDefault="00422348"/>
    <w:p w:rsidRPr="001F00F2" w:rsidR="00C21A4A" w:rsidP="00422348" w:rsidRDefault="00C21A4A"/>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73621A" w:rsidP="0073621A" w:rsidRDefault="0073621A">
      <w:pPr>
        <w:jc w:val="both"/>
      </w:pPr>
      <w:r>
        <w:t>Selskabet har indberettet følgende som 1:1 omkostninger:</w:t>
      </w:r>
    </w:p>
    <w:p w:rsidR="0073621A" w:rsidP="0073621A" w:rsidRDefault="0073621A">
      <w:pPr>
        <w:jc w:val="both"/>
      </w:pPr>
    </w:p>
    <w:p w:rsidRPr="008E5F0B" w:rsidR="0045618A" w:rsidP="0045618A" w:rsidRDefault="0045618A">
      <w:pPr>
        <w:numPr>
          <w:ilvl w:val="0"/>
          <w:numId w:val="8"/>
        </w:numPr>
        <w:jc w:val="both"/>
        <w:rPr>
          <w:b/>
          <w:szCs w:val="24"/>
        </w:rPr>
      </w:pPr>
      <w:r>
        <w:t>Betaling til Forsyningssekretariatet: 33.000 kr.</w:t>
      </w:r>
    </w:p>
    <w:p w:rsidR="0045618A" w:rsidP="0045618A" w:rsidRDefault="0045618A">
      <w:pPr>
        <w:numPr>
          <w:ilvl w:val="0"/>
          <w:numId w:val="8"/>
        </w:numPr>
        <w:spacing w:line="240" w:lineRule="auto"/>
      </w:pPr>
      <w:r>
        <w:t>Køb af ydelser og produkter, der er omfattet af prisloftreguleringen hos et andet selskab: 11.500.000 kr.</w:t>
      </w:r>
    </w:p>
    <w:p w:rsidR="0045618A" w:rsidP="0045618A" w:rsidRDefault="0045618A">
      <w:pPr>
        <w:numPr>
          <w:ilvl w:val="0"/>
          <w:numId w:val="8"/>
        </w:numPr>
        <w:spacing w:line="240" w:lineRule="auto"/>
      </w:pPr>
      <w:r>
        <w:t xml:space="preserve">Andet - </w:t>
      </w:r>
      <w:r w:rsidRPr="00B928D8">
        <w:t>Betalinger til kloakfælles</w:t>
      </w:r>
      <w:r>
        <w:t xml:space="preserve">skaber omkring </w:t>
      </w:r>
      <w:r w:rsidRPr="00B928D8">
        <w:t xml:space="preserve">Damhusengen, Harrestrup </w:t>
      </w:r>
      <w:r>
        <w:t>Å, Bækrenden og Vallensbæk Mose: 105.000 kr</w:t>
      </w:r>
      <w:r w:rsidRPr="00B928D8">
        <w:t>.  </w:t>
      </w:r>
    </w:p>
    <w:p w:rsidR="0073621A" w:rsidP="0073621A" w:rsidRDefault="0073621A">
      <w:pPr>
        <w:jc w:val="both"/>
      </w:pPr>
    </w:p>
    <w:p w:rsidR="0045618A" w:rsidP="0045618A" w:rsidRDefault="0045618A">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45618A" w:rsidP="0045618A" w:rsidRDefault="0045618A">
      <w:pPr>
        <w:jc w:val="both"/>
      </w:pPr>
    </w:p>
    <w:p w:rsidR="0045618A" w:rsidP="00C21A4A" w:rsidRDefault="0045618A">
      <w:pPr>
        <w:autoSpaceDE w:val="0"/>
        <w:autoSpaceDN w:val="0"/>
        <w:adjustRightInd w:val="0"/>
        <w:jc w:val="both"/>
      </w:pPr>
      <w:r>
        <w:lastRenderedPageBreak/>
        <w:t>Køb af ydelser og produkter, der er omfattet af prisloftreguleringen hos et andet vandselskab, herunder køb af vand, er ifølge prisloftbekendtg</w:t>
      </w:r>
      <w:r>
        <w:t>ø</w:t>
      </w:r>
      <w:r>
        <w:t>relsens § 3, stk. 4, en 1:1 omkostning. Forudsætningen herfor er, at det sælgende selskab er omfattet af prisloftreguleringen. Det drejer sig om køb af spildevandsrensning af Spildevandscenter Avedøre, som er omfa</w:t>
      </w:r>
      <w:r>
        <w:t>t</w:t>
      </w:r>
      <w:r>
        <w:t>tet af prisloftregulering. Forsyningssekretariatet har på den baggrund medtaget de budgetterede omkostninger som 1:1 omkostninger.</w:t>
      </w:r>
    </w:p>
    <w:p w:rsidR="0045618A" w:rsidP="0045618A" w:rsidRDefault="0045618A">
      <w:pPr>
        <w:autoSpaceDE w:val="0"/>
        <w:autoSpaceDN w:val="0"/>
        <w:adjustRightInd w:val="0"/>
      </w:pPr>
    </w:p>
    <w:p w:rsidR="0045618A" w:rsidP="0045618A" w:rsidRDefault="00C21A4A">
      <w:pPr>
        <w:autoSpaceDE w:val="0"/>
        <w:autoSpaceDN w:val="0"/>
        <w:adjustRightInd w:val="0"/>
        <w:jc w:val="both"/>
      </w:pPr>
      <w:r>
        <w:t xml:space="preserve">Selskabet </w:t>
      </w:r>
      <w:r w:rsidR="0045618A">
        <w:t>er pålagt at betale en andel af omkostningerne i Kloakfælle</w:t>
      </w:r>
      <w:r w:rsidR="0045618A">
        <w:t>s</w:t>
      </w:r>
      <w:r w:rsidR="0045618A">
        <w:t>skabet Vallensbæk Mose til drifts- og vedligeholdelse af anlæg og bass</w:t>
      </w:r>
      <w:r w:rsidR="0045618A">
        <w:t>i</w:t>
      </w:r>
      <w:r w:rsidR="0045618A">
        <w:t xml:space="preserve">ner. </w:t>
      </w:r>
      <w:r>
        <w:t xml:space="preserve">Selskabet </w:t>
      </w:r>
      <w:r w:rsidR="0045618A">
        <w:t>er også pålagt at betale til drifts- og vedli</w:t>
      </w:r>
      <w:r>
        <w:t>geholdelse af</w:t>
      </w:r>
      <w:r w:rsidR="0045618A">
        <w:t xml:space="preserve"> kloaksamarbejder omkring Damhusengen,</w:t>
      </w:r>
      <w:r>
        <w:t xml:space="preserve"> </w:t>
      </w:r>
      <w:r w:rsidR="0045618A">
        <w:t>Harestrup Å, Bækrenden og disse anlæg og bassiner. Selskabets deltagelse og udgifter hertil har se</w:t>
      </w:r>
      <w:r w:rsidR="0045618A">
        <w:t>l</w:t>
      </w:r>
      <w:r w:rsidR="0045618A">
        <w:t>skabet ingen indflydelse på, og det oplyste beløb medtages derfor som 1:1 omkostning.</w:t>
      </w:r>
    </w:p>
    <w:p w:rsidR="0045618A" w:rsidP="0045618A" w:rsidRDefault="0045618A">
      <w:pPr>
        <w:autoSpaceDE w:val="0"/>
        <w:autoSpaceDN w:val="0"/>
        <w:adjustRightInd w:val="0"/>
      </w:pPr>
    </w:p>
    <w:p w:rsidR="0073621A" w:rsidP="0073621A" w:rsidRDefault="0073621A">
      <w:pPr>
        <w:jc w:val="both"/>
      </w:pPr>
      <w:r>
        <w:t xml:space="preserve">Det samlede tillæg for 1:1 omkostninger er derfor på </w:t>
      </w:r>
      <w:bookmarkStart w:name="EnTilEnOmk" w:id="15"/>
      <w:r w:rsidRPr="0045618A" w:rsidR="0045618A">
        <w:t>11.638.000</w:t>
      </w:r>
      <w:bookmarkEnd w:id="15"/>
      <w:r w:rsidR="00546E89">
        <w:t xml:space="preserve"> </w:t>
      </w:r>
      <w:r>
        <w:t>kr.</w:t>
      </w:r>
    </w:p>
    <w:p w:rsidR="00E80B05" w:rsidP="001F00F2" w:rsidRDefault="00E80B05">
      <w:pPr>
        <w:rPr>
          <w:b/>
          <w:szCs w:val="24"/>
        </w:rPr>
      </w:pPr>
    </w:p>
    <w:p w:rsidR="00F47154" w:rsidP="00F47154" w:rsidRDefault="00F47154">
      <w:pPr>
        <w:jc w:val="both"/>
        <w:rPr>
          <w:b/>
          <w:szCs w:val="24"/>
        </w:rPr>
      </w:pPr>
      <w:r w:rsidRPr="00075DCF">
        <w:rPr>
          <w:b/>
          <w:szCs w:val="24"/>
        </w:rPr>
        <w:t>T</w:t>
      </w:r>
      <w:r>
        <w:rPr>
          <w:b/>
          <w:szCs w:val="24"/>
        </w:rPr>
        <w:t>illæg for nødvendige udgifter til revisorerklæringer samt ordinært medlemskab af DANVA og FVD</w:t>
      </w:r>
    </w:p>
    <w:p w:rsidR="00C21A4A"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r>
        <w:t>Selskabet har indberettet følgende omkostninger:</w:t>
      </w:r>
    </w:p>
    <w:p w:rsidR="00F47154" w:rsidP="00F47154" w:rsidRDefault="00F47154">
      <w:pPr>
        <w:jc w:val="both"/>
      </w:pPr>
    </w:p>
    <w:p w:rsidR="0045618A" w:rsidP="0045618A" w:rsidRDefault="0045618A">
      <w:pPr>
        <w:numPr>
          <w:ilvl w:val="0"/>
          <w:numId w:val="7"/>
        </w:numPr>
        <w:jc w:val="both"/>
      </w:pPr>
      <w:r>
        <w:t>Betaling for ordinært medlemskab af DANVA: 31.500 kr.</w:t>
      </w:r>
    </w:p>
    <w:p w:rsidRPr="00C555B5" w:rsidR="0045618A" w:rsidP="0045618A" w:rsidRDefault="0045618A">
      <w:pPr>
        <w:numPr>
          <w:ilvl w:val="0"/>
          <w:numId w:val="7"/>
        </w:numPr>
        <w:jc w:val="both"/>
      </w:pPr>
      <w:r w:rsidRPr="00C555B5">
        <w:t>Betaling for revisorerklæringer:</w:t>
      </w:r>
      <w:r>
        <w:t xml:space="preserve"> 55.000 kr.</w:t>
      </w:r>
    </w:p>
    <w:p w:rsidR="0045618A" w:rsidP="0045618A" w:rsidRDefault="0045618A">
      <w:pPr>
        <w:jc w:val="both"/>
      </w:pPr>
    </w:p>
    <w:p w:rsidR="00F47154" w:rsidP="00F47154" w:rsidRDefault="00F47154">
      <w:pPr>
        <w:jc w:val="both"/>
      </w:pPr>
      <w:r>
        <w:t xml:space="preserve">Det samlede tillæg for disse omkostninger er derfor på </w:t>
      </w:r>
      <w:bookmarkStart w:name="RevDanvaFvd" w:id="16"/>
      <w:r w:rsidRPr="0045618A" w:rsidR="0045618A">
        <w:t>86.500</w:t>
      </w:r>
      <w:bookmarkEnd w:id="16"/>
      <w:r>
        <w:t xml:space="preserve"> kr.</w:t>
      </w:r>
    </w:p>
    <w:p w:rsidR="00DF26F5" w:rsidP="00F47154" w:rsidRDefault="00DF26F5">
      <w:pPr>
        <w:rPr>
          <w:b/>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45618A" w:rsidP="0045618A" w:rsidRDefault="0045618A">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 xml:space="preserve">inger i </w:t>
      </w:r>
      <w:r>
        <w:t>det korrigerede prisloft</w:t>
      </w:r>
      <w:r w:rsidRPr="00965142">
        <w:t xml:space="preserve">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45618A" w:rsidP="0045618A" w:rsidRDefault="0045618A">
      <w:pPr>
        <w:autoSpaceDE w:val="0"/>
        <w:autoSpaceDN w:val="0"/>
        <w:adjustRightInd w:val="0"/>
        <w:jc w:val="both"/>
      </w:pPr>
    </w:p>
    <w:p w:rsidR="0045618A" w:rsidP="0045618A" w:rsidRDefault="0045618A">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B928D8">
        <w:t>12.073.921</w:t>
      </w:r>
      <w:r>
        <w:t xml:space="preserve"> </w:t>
      </w:r>
      <w:r w:rsidRPr="00965142">
        <w:t xml:space="preserve">kr. 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rsidRPr="00A71014">
        <w:t>12.751.360</w:t>
      </w:r>
      <w:r>
        <w:t xml:space="preserve"> </w:t>
      </w:r>
      <w:r w:rsidRPr="00965142">
        <w:t xml:space="preserve">kr. </w:t>
      </w:r>
      <w:r w:rsidRPr="00965142" w:rsidR="00F47154">
        <w:t>Korrektionen i prislof</w:t>
      </w:r>
      <w:r w:rsidR="00F47154">
        <w:t>tet for 2014</w:t>
      </w:r>
      <w:r w:rsidRPr="00965142" w:rsidR="00F47154">
        <w:t xml:space="preserve"> bliver således </w:t>
      </w:r>
      <w:bookmarkStart w:name="KorrEnTilEn" w:id="17"/>
      <w:r w:rsidRPr="0045618A">
        <w:t>-677.439</w:t>
      </w:r>
      <w:bookmarkEnd w:id="17"/>
      <w:r w:rsidR="00F47154">
        <w:t xml:space="preserve"> </w:t>
      </w:r>
      <w:r w:rsidRPr="00965142" w:rsidR="00F47154">
        <w:t xml:space="preserve">kr. </w:t>
      </w:r>
      <w:r w:rsidRPr="00965142">
        <w:t>(</w:t>
      </w:r>
      <w:r w:rsidRPr="00B928D8">
        <w:t>12.073.921</w:t>
      </w:r>
      <w:r>
        <w:t xml:space="preserve"> </w:t>
      </w:r>
      <w:r w:rsidRPr="00965142">
        <w:t xml:space="preserve">kr. – </w:t>
      </w:r>
      <w:r w:rsidRPr="00A71014">
        <w:t>12.751.360</w:t>
      </w:r>
      <w:r>
        <w:t xml:space="preserve"> </w:t>
      </w:r>
      <w:r w:rsidRPr="00965142">
        <w:t>kr.)</w:t>
      </w:r>
      <w:r>
        <w:t>.</w:t>
      </w:r>
    </w:p>
    <w:p w:rsidR="0073621A" w:rsidP="0045618A" w:rsidRDefault="0073621A">
      <w:pPr>
        <w:autoSpaceDE w:val="0"/>
        <w:autoSpaceDN w:val="0"/>
        <w:adjustRightInd w:val="0"/>
        <w:jc w:val="both"/>
        <w:rPr>
          <w:szCs w:val="24"/>
        </w:rPr>
      </w:pPr>
    </w:p>
    <w:p w:rsidRPr="001F00F2" w:rsidR="00A61766" w:rsidP="00A61766" w:rsidRDefault="00A61766">
      <w:pPr>
        <w:rPr>
          <w:b/>
          <w:szCs w:val="24"/>
        </w:rPr>
      </w:pPr>
      <w:r w:rsidRPr="00427DE9">
        <w:rPr>
          <w:b/>
          <w:szCs w:val="24"/>
        </w:rPr>
        <w:lastRenderedPageBreak/>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Pr="00BA2075" w:rsidR="00A61766" w:rsidP="00A61766" w:rsidRDefault="00A61766">
      <w:pPr>
        <w:jc w:val="both"/>
        <w:rPr>
          <w:szCs w:val="24"/>
        </w:rPr>
      </w:pPr>
    </w:p>
    <w:p w:rsidR="00A61766" w:rsidP="00A61766" w:rsidRDefault="00A61766">
      <w:pPr>
        <w:jc w:val="both"/>
        <w:rPr>
          <w:szCs w:val="24"/>
        </w:rPr>
      </w:pPr>
      <w:r w:rsidRPr="00BA2075">
        <w:rPr>
          <w:szCs w:val="24"/>
        </w:rPr>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lastRenderedPageBreak/>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p>
    <w:p w:rsidRPr="00BA2075" w:rsidR="00A61766" w:rsidP="00A61766" w:rsidRDefault="00A61766">
      <w:pPr>
        <w:jc w:val="both"/>
        <w:rPr>
          <w:szCs w:val="24"/>
        </w:rPr>
      </w:pPr>
      <w:r w:rsidRPr="00BA2075">
        <w:rPr>
          <w:szCs w:val="24"/>
        </w:rPr>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00A61766" w:rsidP="00A61766" w:rsidRDefault="005C38B0">
      <w:pPr>
        <w:numPr>
          <w:ilvl w:val="0"/>
          <w:numId w:val="9"/>
        </w:numPr>
        <w:jc w:val="both"/>
        <w:rPr>
          <w:szCs w:val="24"/>
        </w:rPr>
      </w:pPr>
      <w:r>
        <w:rPr>
          <w:szCs w:val="24"/>
        </w:rPr>
        <w:t xml:space="preserve">Indsats mod oversvømmelser: </w:t>
      </w:r>
      <w:r w:rsidR="00DF26F5">
        <w:rPr>
          <w:szCs w:val="24"/>
        </w:rPr>
        <w:tab/>
      </w:r>
      <w:r>
        <w:rPr>
          <w:szCs w:val="24"/>
        </w:rPr>
        <w:t>1.250.000 kr.</w:t>
      </w:r>
    </w:p>
    <w:p w:rsidRPr="005C38B0" w:rsidR="00A61766" w:rsidP="005C38B0" w:rsidRDefault="006E66C4">
      <w:pPr>
        <w:numPr>
          <w:ilvl w:val="0"/>
          <w:numId w:val="9"/>
        </w:numPr>
        <w:jc w:val="both"/>
        <w:rPr>
          <w:szCs w:val="24"/>
        </w:rPr>
      </w:pPr>
      <w:r>
        <w:rPr>
          <w:szCs w:val="24"/>
        </w:rPr>
        <w:t>Tillæg til klimatilpasningsplanen vedrørende l</w:t>
      </w:r>
      <w:r w:rsidR="005C38B0">
        <w:rPr>
          <w:szCs w:val="24"/>
        </w:rPr>
        <w:t xml:space="preserve">edningsregistrering og TV-inspektion: </w:t>
      </w:r>
      <w:r w:rsidR="00DF26F5">
        <w:rPr>
          <w:szCs w:val="24"/>
        </w:rPr>
        <w:tab/>
      </w:r>
      <w:r w:rsidR="00DF26F5">
        <w:rPr>
          <w:szCs w:val="24"/>
        </w:rPr>
        <w:tab/>
      </w:r>
      <w:r w:rsidR="005C38B0">
        <w:rPr>
          <w:szCs w:val="24"/>
        </w:rPr>
        <w:t>500.000 kr.</w:t>
      </w:r>
    </w:p>
    <w:p w:rsidR="00B007F9" w:rsidP="00A61766" w:rsidRDefault="00B007F9">
      <w:pPr>
        <w:jc w:val="both"/>
        <w:rPr>
          <w:szCs w:val="24"/>
          <w:u w:val="single"/>
        </w:rPr>
      </w:pPr>
    </w:p>
    <w:p w:rsidRPr="00C21A4A" w:rsidR="005C38B0" w:rsidP="00A61766" w:rsidRDefault="005C38B0">
      <w:pPr>
        <w:jc w:val="both"/>
        <w:rPr>
          <w:szCs w:val="24"/>
          <w:u w:val="single"/>
        </w:rPr>
      </w:pPr>
      <w:r w:rsidRPr="00C21A4A">
        <w:rPr>
          <w:szCs w:val="24"/>
          <w:u w:val="single"/>
        </w:rPr>
        <w:t>Indsats mod oversvømmelser</w:t>
      </w:r>
    </w:p>
    <w:p w:rsidRPr="005C38B0" w:rsidR="005C38B0" w:rsidP="00B007F9" w:rsidRDefault="005C38B0">
      <w:pPr>
        <w:jc w:val="both"/>
        <w:rPr>
          <w:szCs w:val="24"/>
        </w:rPr>
      </w:pPr>
      <w:r w:rsidRPr="005C38B0">
        <w:rPr>
          <w:szCs w:val="24"/>
        </w:rPr>
        <w:t>Målet er efter det oplyste fastsat af selskabets bestyrelse. Som dokume</w:t>
      </w:r>
      <w:r w:rsidRPr="005C38B0">
        <w:rPr>
          <w:szCs w:val="24"/>
        </w:rPr>
        <w:t>n</w:t>
      </w:r>
      <w:r w:rsidRPr="005C38B0">
        <w:rPr>
          <w:szCs w:val="24"/>
        </w:rPr>
        <w:t>tation</w:t>
      </w:r>
      <w:r>
        <w:rPr>
          <w:szCs w:val="24"/>
        </w:rPr>
        <w:t xml:space="preserve"> </w:t>
      </w:r>
      <w:r w:rsidRPr="005C38B0">
        <w:rPr>
          <w:szCs w:val="24"/>
        </w:rPr>
        <w:t>for målet har selskabet i forbindelse med afgørelsen af prisloftet</w:t>
      </w:r>
    </w:p>
    <w:p w:rsidRPr="005C38B0" w:rsidR="005C38B0" w:rsidP="00B007F9" w:rsidRDefault="005C38B0">
      <w:pPr>
        <w:jc w:val="both"/>
        <w:rPr>
          <w:szCs w:val="24"/>
        </w:rPr>
      </w:pPr>
      <w:r w:rsidRPr="005C38B0">
        <w:rPr>
          <w:szCs w:val="24"/>
        </w:rPr>
        <w:t>for 2012 indsendt redegørelse for målet, referatuddrag fra bestyrelse</w:t>
      </w:r>
      <w:r w:rsidRPr="005C38B0">
        <w:rPr>
          <w:szCs w:val="24"/>
        </w:rPr>
        <w:t>s</w:t>
      </w:r>
      <w:r w:rsidRPr="005C38B0">
        <w:rPr>
          <w:szCs w:val="24"/>
        </w:rPr>
        <w:t>møde</w:t>
      </w:r>
      <w:r>
        <w:rPr>
          <w:szCs w:val="24"/>
        </w:rPr>
        <w:t xml:space="preserve"> </w:t>
      </w:r>
      <w:r w:rsidRPr="005C38B0">
        <w:rPr>
          <w:szCs w:val="24"/>
        </w:rPr>
        <w:t>den 29. august 2011 samt en økonomioversigt for klimatilpa</w:t>
      </w:r>
      <w:r w:rsidRPr="005C38B0">
        <w:rPr>
          <w:szCs w:val="24"/>
        </w:rPr>
        <w:t>s</w:t>
      </w:r>
      <w:r w:rsidRPr="005C38B0">
        <w:rPr>
          <w:szCs w:val="24"/>
        </w:rPr>
        <w:t>ningsplanen</w:t>
      </w:r>
      <w:r>
        <w:rPr>
          <w:szCs w:val="24"/>
        </w:rPr>
        <w:t xml:space="preserve"> </w:t>
      </w:r>
      <w:r w:rsidRPr="005C38B0">
        <w:rPr>
          <w:szCs w:val="24"/>
        </w:rPr>
        <w:t>fra 9. september 2011. Selskabet har endvidere indsendt r</w:t>
      </w:r>
      <w:r w:rsidRPr="005C38B0">
        <w:rPr>
          <w:szCs w:val="24"/>
        </w:rPr>
        <w:t>e</w:t>
      </w:r>
      <w:r w:rsidRPr="005C38B0">
        <w:rPr>
          <w:szCs w:val="24"/>
        </w:rPr>
        <w:t>ferat</w:t>
      </w:r>
      <w:r>
        <w:rPr>
          <w:szCs w:val="24"/>
        </w:rPr>
        <w:t xml:space="preserve"> </w:t>
      </w:r>
      <w:r w:rsidRPr="005C38B0">
        <w:rPr>
          <w:szCs w:val="24"/>
        </w:rPr>
        <w:t>fra bestyrelsesmøde den 27. juni 2012 samt ”bilag 3” af 29. maj</w:t>
      </w:r>
    </w:p>
    <w:p w:rsidRPr="005C38B0" w:rsidR="005C38B0" w:rsidP="00B007F9" w:rsidRDefault="005C38B0">
      <w:pPr>
        <w:jc w:val="both"/>
        <w:rPr>
          <w:szCs w:val="24"/>
        </w:rPr>
      </w:pPr>
      <w:r w:rsidRPr="005C38B0">
        <w:rPr>
          <w:szCs w:val="24"/>
        </w:rPr>
        <w:t>2012, som beskriver det videre arbejde med målet, herunder de tiltag,</w:t>
      </w:r>
    </w:p>
    <w:p w:rsidRPr="005C38B0" w:rsidR="005C38B0" w:rsidP="00B007F9" w:rsidRDefault="005C38B0">
      <w:pPr>
        <w:jc w:val="both"/>
        <w:rPr>
          <w:szCs w:val="24"/>
        </w:rPr>
      </w:pPr>
      <w:r w:rsidRPr="005C38B0">
        <w:rPr>
          <w:szCs w:val="24"/>
        </w:rPr>
        <w:t>som selskabet vil iværksætte i 2013.</w:t>
      </w:r>
    </w:p>
    <w:p w:rsidR="005C38B0" w:rsidP="00B007F9" w:rsidRDefault="005C38B0">
      <w:pPr>
        <w:jc w:val="both"/>
        <w:rPr>
          <w:szCs w:val="24"/>
        </w:rPr>
      </w:pPr>
    </w:p>
    <w:p w:rsidRPr="005C38B0" w:rsidR="005C38B0" w:rsidP="00B007F9" w:rsidRDefault="005C38B0">
      <w:pPr>
        <w:jc w:val="both"/>
        <w:rPr>
          <w:szCs w:val="24"/>
        </w:rPr>
      </w:pPr>
      <w:r w:rsidRPr="005C38B0">
        <w:rPr>
          <w:szCs w:val="24"/>
        </w:rPr>
        <w:t>Efter Forsyningssekretariatets vurdering kan omkostninger til den indb</w:t>
      </w:r>
      <w:r w:rsidRPr="005C38B0">
        <w:rPr>
          <w:szCs w:val="24"/>
        </w:rPr>
        <w:t>e</w:t>
      </w:r>
      <w:r w:rsidRPr="005C38B0">
        <w:rPr>
          <w:szCs w:val="24"/>
        </w:rPr>
        <w:t>rettede</w:t>
      </w:r>
      <w:r>
        <w:rPr>
          <w:szCs w:val="24"/>
        </w:rPr>
        <w:t xml:space="preserve"> </w:t>
      </w:r>
      <w:r w:rsidRPr="005C38B0">
        <w:rPr>
          <w:szCs w:val="24"/>
        </w:rPr>
        <w:t>aktivitet anses som driftsomkostninger til opnåelse af et servic</w:t>
      </w:r>
      <w:r w:rsidRPr="005C38B0">
        <w:rPr>
          <w:szCs w:val="24"/>
        </w:rPr>
        <w:t>e</w:t>
      </w:r>
      <w:r w:rsidRPr="005C38B0">
        <w:rPr>
          <w:szCs w:val="24"/>
        </w:rPr>
        <w:t>mål,</w:t>
      </w:r>
      <w:r>
        <w:rPr>
          <w:szCs w:val="24"/>
        </w:rPr>
        <w:t xml:space="preserve"> </w:t>
      </w:r>
      <w:r w:rsidRPr="005C38B0">
        <w:rPr>
          <w:szCs w:val="24"/>
        </w:rPr>
        <w:t>forudsat at de nødvendige betingelser er opfyldt.</w:t>
      </w:r>
    </w:p>
    <w:p w:rsidR="005C38B0" w:rsidP="00B007F9" w:rsidRDefault="005C38B0">
      <w:pPr>
        <w:jc w:val="both"/>
        <w:rPr>
          <w:szCs w:val="24"/>
        </w:rPr>
      </w:pPr>
    </w:p>
    <w:p w:rsidRPr="005C38B0" w:rsidR="005C38B0" w:rsidP="00B007F9" w:rsidRDefault="005C38B0">
      <w:pPr>
        <w:jc w:val="both"/>
        <w:rPr>
          <w:szCs w:val="24"/>
        </w:rPr>
      </w:pPr>
      <w:r w:rsidRPr="005C38B0">
        <w:rPr>
          <w:szCs w:val="24"/>
        </w:rPr>
        <w:t>Forsyningssekretariatet fandt ved fastsættelsen af prisloftet for 2012</w:t>
      </w:r>
      <w:r>
        <w:rPr>
          <w:szCs w:val="24"/>
        </w:rPr>
        <w:t xml:space="preserve"> og 2013</w:t>
      </w:r>
      <w:r w:rsidRPr="005C38B0">
        <w:rPr>
          <w:szCs w:val="24"/>
        </w:rPr>
        <w:t>, at</w:t>
      </w:r>
      <w:r>
        <w:rPr>
          <w:szCs w:val="24"/>
        </w:rPr>
        <w:t xml:space="preserve"> </w:t>
      </w:r>
      <w:r w:rsidRPr="005C38B0">
        <w:rPr>
          <w:szCs w:val="24"/>
        </w:rPr>
        <w:t>det indsendte materiale fyldestgørende dokumenterede, at de indberettede</w:t>
      </w:r>
      <w:r>
        <w:rPr>
          <w:szCs w:val="24"/>
        </w:rPr>
        <w:t xml:space="preserve"> </w:t>
      </w:r>
      <w:r w:rsidRPr="005C38B0">
        <w:rPr>
          <w:szCs w:val="24"/>
        </w:rPr>
        <w:t>omkostninger medgik til opnåelse af et servicemål, idet der er tale om</w:t>
      </w:r>
      <w:r>
        <w:rPr>
          <w:szCs w:val="24"/>
        </w:rPr>
        <w:t xml:space="preserve"> </w:t>
      </w:r>
      <w:r w:rsidRPr="005C38B0">
        <w:rPr>
          <w:szCs w:val="24"/>
        </w:rPr>
        <w:t>et nyt mål, som er fastsat af selskabets bestyrelse.</w:t>
      </w:r>
    </w:p>
    <w:p w:rsidR="005C38B0" w:rsidP="00B007F9" w:rsidRDefault="005C38B0">
      <w:pPr>
        <w:jc w:val="both"/>
        <w:rPr>
          <w:szCs w:val="24"/>
        </w:rPr>
      </w:pPr>
    </w:p>
    <w:p w:rsidRPr="005C38B0" w:rsidR="005C38B0" w:rsidP="00B007F9" w:rsidRDefault="005C38B0">
      <w:pPr>
        <w:jc w:val="both"/>
        <w:rPr>
          <w:szCs w:val="24"/>
        </w:rPr>
      </w:pPr>
      <w:r w:rsidRPr="005C38B0">
        <w:rPr>
          <w:szCs w:val="24"/>
        </w:rPr>
        <w:t>Forsyningssekretariatet finder på baggrund heraf ligeledes grundlag for</w:t>
      </w:r>
    </w:p>
    <w:p w:rsidRPr="005C38B0" w:rsidR="005C38B0" w:rsidP="00B007F9" w:rsidRDefault="005C38B0">
      <w:pPr>
        <w:jc w:val="both"/>
        <w:rPr>
          <w:szCs w:val="24"/>
        </w:rPr>
      </w:pPr>
      <w:r w:rsidRPr="005C38B0">
        <w:rPr>
          <w:szCs w:val="24"/>
        </w:rPr>
        <w:t>at tildele e</w:t>
      </w:r>
      <w:r>
        <w:rPr>
          <w:szCs w:val="24"/>
        </w:rPr>
        <w:t>t tillæg til prisloftet for 2014</w:t>
      </w:r>
      <w:r w:rsidRPr="005C38B0">
        <w:rPr>
          <w:szCs w:val="24"/>
        </w:rPr>
        <w:t xml:space="preserve"> herfor</w:t>
      </w:r>
      <w:r>
        <w:rPr>
          <w:szCs w:val="24"/>
        </w:rPr>
        <w:t xml:space="preserve"> på 1.250.000 kr</w:t>
      </w:r>
      <w:r w:rsidRPr="005C38B0">
        <w:rPr>
          <w:szCs w:val="24"/>
        </w:rPr>
        <w:t>.</w:t>
      </w:r>
    </w:p>
    <w:p w:rsidR="005C38B0" w:rsidP="00B007F9" w:rsidRDefault="005C38B0">
      <w:pPr>
        <w:jc w:val="both"/>
        <w:rPr>
          <w:szCs w:val="24"/>
        </w:rPr>
      </w:pPr>
    </w:p>
    <w:p w:rsidR="002346ED" w:rsidRDefault="002346ED">
      <w:pPr>
        <w:spacing w:line="240" w:lineRule="auto"/>
        <w:rPr>
          <w:szCs w:val="24"/>
          <w:u w:val="single"/>
        </w:rPr>
      </w:pPr>
      <w:r>
        <w:rPr>
          <w:szCs w:val="24"/>
          <w:u w:val="single"/>
        </w:rPr>
        <w:br w:type="page"/>
      </w:r>
    </w:p>
    <w:p w:rsidRPr="00992C35" w:rsidR="005C38B0" w:rsidP="00A61766" w:rsidRDefault="006E66C4">
      <w:pPr>
        <w:jc w:val="both"/>
        <w:rPr>
          <w:szCs w:val="24"/>
          <w:u w:val="single"/>
        </w:rPr>
      </w:pPr>
      <w:r w:rsidRPr="00992C35">
        <w:rPr>
          <w:szCs w:val="24"/>
          <w:u w:val="single"/>
        </w:rPr>
        <w:lastRenderedPageBreak/>
        <w:t>Tillæg til klimatilpasningsplanen vedrørende l</w:t>
      </w:r>
      <w:r w:rsidRPr="00992C35" w:rsidR="005C38B0">
        <w:rPr>
          <w:szCs w:val="24"/>
          <w:u w:val="single"/>
        </w:rPr>
        <w:t>edningsregistrering og TV-inspektion</w:t>
      </w:r>
    </w:p>
    <w:p w:rsidR="005C38B0" w:rsidP="003E7A14" w:rsidRDefault="005C38B0">
      <w:pPr>
        <w:jc w:val="both"/>
        <w:rPr>
          <w:szCs w:val="24"/>
        </w:rPr>
      </w:pPr>
      <w:r>
        <w:rPr>
          <w:szCs w:val="24"/>
        </w:rPr>
        <w:t>Målet er efter det oplyste fastsat af selskabets bestyrelse. Som dokume</w:t>
      </w:r>
      <w:r>
        <w:rPr>
          <w:szCs w:val="24"/>
        </w:rPr>
        <w:t>n</w:t>
      </w:r>
      <w:r>
        <w:rPr>
          <w:szCs w:val="24"/>
        </w:rPr>
        <w:t>tation for målet har selskabet indsendt referat fra bestyrelsesmøde i se</w:t>
      </w:r>
      <w:r>
        <w:rPr>
          <w:szCs w:val="24"/>
        </w:rPr>
        <w:t>l</w:t>
      </w:r>
      <w:r>
        <w:rPr>
          <w:szCs w:val="24"/>
        </w:rPr>
        <w:t>skabet den 15. april 2013. Heraf fremgår det, at selskabet i forbindelse med klimatilpasningen har konstateret et behov for en mere detaljeret v</w:t>
      </w:r>
      <w:r>
        <w:rPr>
          <w:szCs w:val="24"/>
        </w:rPr>
        <w:t>i</w:t>
      </w:r>
      <w:r>
        <w:rPr>
          <w:szCs w:val="24"/>
        </w:rPr>
        <w:t>den omkring det eksisterende ledningsnet, hvorfor der er behov for su</w:t>
      </w:r>
      <w:r>
        <w:rPr>
          <w:szCs w:val="24"/>
        </w:rPr>
        <w:t>p</w:t>
      </w:r>
      <w:r>
        <w:rPr>
          <w:szCs w:val="24"/>
        </w:rPr>
        <w:t>plerende ledningsregistrering og TV-inspektion.</w:t>
      </w:r>
    </w:p>
    <w:p w:rsidR="005C38B0" w:rsidP="003E7A14" w:rsidRDefault="005C38B0">
      <w:pPr>
        <w:jc w:val="both"/>
        <w:rPr>
          <w:szCs w:val="24"/>
        </w:rPr>
      </w:pPr>
    </w:p>
    <w:p w:rsidRPr="001C2335" w:rsidR="005C38B0" w:rsidP="003E7A14" w:rsidRDefault="005C38B0">
      <w:pPr>
        <w:jc w:val="both"/>
        <w:rPr>
          <w:szCs w:val="24"/>
        </w:rPr>
      </w:pPr>
      <w:r w:rsidRPr="001C2335">
        <w:rPr>
          <w:szCs w:val="24"/>
        </w:rPr>
        <w:t>Efter Forsyningssekretariatets vurdering kan omkostninger til den indb</w:t>
      </w:r>
      <w:r w:rsidRPr="001C2335">
        <w:rPr>
          <w:szCs w:val="24"/>
        </w:rPr>
        <w:t>e</w:t>
      </w:r>
      <w:r w:rsidRPr="001C2335">
        <w:rPr>
          <w:szCs w:val="24"/>
        </w:rPr>
        <w:t xml:space="preserve">rettede aktivitet anses som driftsomkostninger til opnåelse af et </w:t>
      </w:r>
      <w:r w:rsidRPr="006E66C4">
        <w:rPr>
          <w:szCs w:val="24"/>
        </w:rPr>
        <w:t>servic</w:t>
      </w:r>
      <w:r w:rsidRPr="006E66C4">
        <w:rPr>
          <w:szCs w:val="24"/>
        </w:rPr>
        <w:t>e</w:t>
      </w:r>
      <w:r w:rsidRPr="006E66C4">
        <w:rPr>
          <w:szCs w:val="24"/>
        </w:rPr>
        <w:t>mål</w:t>
      </w:r>
      <w:r w:rsidRPr="001C2335">
        <w:rPr>
          <w:szCs w:val="24"/>
        </w:rPr>
        <w:t xml:space="preserve">, forudsat at de nødvendige betingelser er opfyldt. </w:t>
      </w:r>
    </w:p>
    <w:p w:rsidRPr="001C2335" w:rsidR="005C38B0" w:rsidP="003E7A14" w:rsidRDefault="005C38B0">
      <w:pPr>
        <w:jc w:val="both"/>
        <w:rPr>
          <w:szCs w:val="24"/>
        </w:rPr>
      </w:pPr>
    </w:p>
    <w:p w:rsidRPr="003E7A14" w:rsidR="005C38B0" w:rsidP="003E7A14" w:rsidRDefault="005C38B0">
      <w:pPr>
        <w:jc w:val="both"/>
        <w:rPr>
          <w:szCs w:val="24"/>
        </w:rPr>
      </w:pPr>
      <w:r w:rsidRPr="001C2335">
        <w:rPr>
          <w:szCs w:val="24"/>
        </w:rPr>
        <w:t>På baggrund af det indberettede anser Forsyningssekretariatet det for d</w:t>
      </w:r>
      <w:r w:rsidRPr="001C2335">
        <w:rPr>
          <w:szCs w:val="24"/>
        </w:rPr>
        <w:t>o</w:t>
      </w:r>
      <w:r w:rsidRPr="001C2335">
        <w:rPr>
          <w:szCs w:val="24"/>
        </w:rPr>
        <w:t xml:space="preserve">kumenteret, at omkostningen på </w:t>
      </w:r>
      <w:r w:rsidR="006E66C4">
        <w:rPr>
          <w:szCs w:val="24"/>
        </w:rPr>
        <w:t>500.000</w:t>
      </w:r>
      <w:r w:rsidRPr="001C2335">
        <w:rPr>
          <w:szCs w:val="24"/>
        </w:rPr>
        <w:t xml:space="preserve"> kr. medgår til opnåelse af et </w:t>
      </w:r>
      <w:r w:rsidRPr="003E7A14">
        <w:rPr>
          <w:szCs w:val="24"/>
        </w:rPr>
        <w:t>servicemål, idet der er tale om et nyt mål, som er fastsat af selskabets b</w:t>
      </w:r>
      <w:r w:rsidRPr="003E7A14">
        <w:rPr>
          <w:szCs w:val="24"/>
        </w:rPr>
        <w:t>e</w:t>
      </w:r>
      <w:r w:rsidRPr="003E7A14">
        <w:rPr>
          <w:szCs w:val="24"/>
        </w:rPr>
        <w:t>styrelse.</w:t>
      </w:r>
    </w:p>
    <w:p w:rsidR="005C38B0" w:rsidP="003E7A14" w:rsidRDefault="005C38B0">
      <w:pPr>
        <w:jc w:val="both"/>
      </w:pPr>
    </w:p>
    <w:p w:rsidRPr="007D4798" w:rsidR="007D4798" w:rsidP="003E7A14" w:rsidRDefault="007D4798">
      <w:pPr>
        <w:jc w:val="both"/>
        <w:rPr>
          <w:u w:val="single"/>
        </w:rPr>
      </w:pPr>
      <w:r>
        <w:rPr>
          <w:u w:val="single"/>
        </w:rPr>
        <w:t xml:space="preserve">Samlet tillæg </w:t>
      </w:r>
    </w:p>
    <w:p w:rsidR="00A61766" w:rsidP="003E7A14" w:rsidRDefault="00A61766">
      <w:pPr>
        <w:jc w:val="both"/>
      </w:pPr>
      <w:r w:rsidRPr="003E7A14">
        <w:t xml:space="preserve">Det samlede tillæg for </w:t>
      </w:r>
      <w:r w:rsidRPr="003E7A14">
        <w:rPr>
          <w:szCs w:val="24"/>
        </w:rPr>
        <w:t>driftsomkostninger til miljø- og servicemål</w:t>
      </w:r>
      <w:r w:rsidRPr="003E7A14">
        <w:t xml:space="preserve"> er de</w:t>
      </w:r>
      <w:r w:rsidRPr="003E7A14">
        <w:t>r</w:t>
      </w:r>
      <w:r w:rsidRPr="003E7A14">
        <w:t xml:space="preserve">for på </w:t>
      </w:r>
      <w:bookmarkStart w:name="Mogs" w:id="18"/>
      <w:r w:rsidRPr="003E7A14" w:rsidR="00DF1B2E">
        <w:t>1.750.000</w:t>
      </w:r>
      <w:bookmarkEnd w:id="18"/>
      <w:r w:rsidRPr="003E7A14">
        <w:t xml:space="preserve"> kr.</w:t>
      </w:r>
    </w:p>
    <w:p w:rsidR="00A61766" w:rsidP="00A61766" w:rsidRDefault="00A61766">
      <w:pPr>
        <w:rPr>
          <w:b/>
          <w:szCs w:val="24"/>
        </w:rPr>
      </w:pPr>
    </w:p>
    <w:p w:rsidR="005E5AD1" w:rsidP="00A61766" w:rsidRDefault="005E5AD1">
      <w:pPr>
        <w:rPr>
          <w:b/>
          <w:szCs w:val="24"/>
        </w:rPr>
      </w:pPr>
      <w:r>
        <w:rPr>
          <w:b/>
          <w:szCs w:val="24"/>
        </w:rPr>
        <w:t>Tillæg for omkostninger til medfinansiering af klimatilpasningspr</w:t>
      </w:r>
      <w:r>
        <w:rPr>
          <w:b/>
          <w:szCs w:val="24"/>
        </w:rPr>
        <w:t>o</w:t>
      </w:r>
      <w:r>
        <w:rPr>
          <w:b/>
          <w:szCs w:val="24"/>
        </w:rPr>
        <w:t>jekter</w:t>
      </w:r>
    </w:p>
    <w:p w:rsidR="005E5AD1" w:rsidP="005E5AD1" w:rsidRDefault="005E5AD1">
      <w:pPr>
        <w:jc w:val="both"/>
        <w:rPr>
          <w:szCs w:val="24"/>
        </w:rPr>
      </w:pPr>
      <w:r>
        <w:rPr>
          <w:szCs w:val="24"/>
        </w:rPr>
        <w:t>Der er vedtaget ny lovgivning, som under visse betingelser giver spild</w:t>
      </w:r>
      <w:r>
        <w:rPr>
          <w:szCs w:val="24"/>
        </w:rPr>
        <w:t>e</w:t>
      </w:r>
      <w:r>
        <w:rPr>
          <w:szCs w:val="24"/>
        </w:rPr>
        <w:t>vandsselskabe</w:t>
      </w:r>
      <w:r w:rsidR="006E26AE">
        <w:rPr>
          <w:szCs w:val="24"/>
        </w:rPr>
        <w:t>r mulighed for at medfinansiere</w:t>
      </w:r>
      <w:r>
        <w:rPr>
          <w:szCs w:val="24"/>
        </w:rPr>
        <w:t xml:space="preserve"> </w:t>
      </w:r>
      <w:r w:rsidRPr="005E5AD1">
        <w:rPr>
          <w:i/>
          <w:szCs w:val="24"/>
        </w:rPr>
        <w:t>kommunale og private klimatilpasningsprojekter</w:t>
      </w:r>
      <w:r>
        <w:rPr>
          <w:szCs w:val="24"/>
        </w:rPr>
        <w:t>, som har til formål at styrke afledning og håndtering af tag- og overfladevand. De nærmere betingelser herfor fremgår af medfinansieringsbekendtgørelsen (nr. 89 af 30. januar 2013).</w:t>
      </w:r>
    </w:p>
    <w:p w:rsidR="005E5AD1" w:rsidP="005E5AD1" w:rsidRDefault="005E5AD1">
      <w:pPr>
        <w:jc w:val="both"/>
        <w:rPr>
          <w:szCs w:val="24"/>
        </w:rPr>
      </w:pPr>
    </w:p>
    <w:p w:rsidR="005E5AD1" w:rsidP="005E5AD1" w:rsidRDefault="005E5AD1">
      <w:pPr>
        <w:jc w:val="both"/>
        <w:rPr>
          <w:szCs w:val="24"/>
        </w:rPr>
      </w:pPr>
      <w:r>
        <w:rPr>
          <w:szCs w:val="24"/>
        </w:rPr>
        <w:t>Forsyningssekretariatet fastsætter tillæg for spildevandsselskabernes omkostninger til medfinansiering af klimatilpasningsprojekter ud fra de oplysninger, selskaberne indsender. Omkostningerne indregnes i prislo</w:t>
      </w:r>
      <w:r>
        <w:rPr>
          <w:szCs w:val="24"/>
        </w:rPr>
        <w:t>f</w:t>
      </w:r>
      <w:r>
        <w:rPr>
          <w:szCs w:val="24"/>
        </w:rPr>
        <w:t xml:space="preserve">tet som tillæg for driftsomkostninger til miljø- og servicemål. </w:t>
      </w:r>
    </w:p>
    <w:p w:rsidR="005E5AD1" w:rsidP="005E5AD1" w:rsidRDefault="005E5AD1">
      <w:pPr>
        <w:jc w:val="both"/>
        <w:rPr>
          <w:szCs w:val="24"/>
        </w:rPr>
      </w:pPr>
    </w:p>
    <w:p w:rsidRPr="003E7A14" w:rsidR="005E5AD1" w:rsidP="005E5AD1" w:rsidRDefault="005E5AD1">
      <w:pPr>
        <w:jc w:val="both"/>
        <w:rPr>
          <w:szCs w:val="24"/>
        </w:rPr>
      </w:pPr>
      <w:r>
        <w:rPr>
          <w:szCs w:val="24"/>
        </w:rPr>
        <w:t>Selskabet har ikke indberettet omkostninger til medfinansiering af klim</w:t>
      </w:r>
      <w:r>
        <w:rPr>
          <w:szCs w:val="24"/>
        </w:rPr>
        <w:t>a</w:t>
      </w:r>
      <w:r w:rsidR="00CD212B">
        <w:rPr>
          <w:szCs w:val="24"/>
        </w:rPr>
        <w:t>tilpasningsprojekter i 2014</w:t>
      </w:r>
      <w:r>
        <w:rPr>
          <w:szCs w:val="24"/>
        </w:rPr>
        <w:t xml:space="preserve">. Forsyningssekretariatet har derfor ikke givet tillæg </w:t>
      </w:r>
      <w:r w:rsidRPr="003E7A14">
        <w:rPr>
          <w:szCs w:val="24"/>
        </w:rPr>
        <w:t>til prisloftet herfor.</w:t>
      </w:r>
    </w:p>
    <w:p w:rsidRPr="003E7A14" w:rsidR="00D95804" w:rsidP="005E5AD1" w:rsidRDefault="00D95804">
      <w:pPr>
        <w:jc w:val="both"/>
        <w:rPr>
          <w:szCs w:val="24"/>
        </w:rPr>
      </w:pPr>
    </w:p>
    <w:p w:rsidRPr="005E5AD1" w:rsidR="005E5AD1" w:rsidP="005E5AD1" w:rsidRDefault="00DF1B2E">
      <w:pPr>
        <w:jc w:val="both"/>
        <w:rPr>
          <w:szCs w:val="24"/>
        </w:rPr>
      </w:pPr>
      <w:r w:rsidRPr="003E7A14">
        <w:rPr>
          <w:szCs w:val="24"/>
        </w:rPr>
        <w:t>Det samlede tillæg for omkostninger til medfinansiering af klimatilpa</w:t>
      </w:r>
      <w:r w:rsidRPr="003E7A14">
        <w:rPr>
          <w:szCs w:val="24"/>
        </w:rPr>
        <w:t>s</w:t>
      </w:r>
      <w:r w:rsidRPr="003E7A14">
        <w:rPr>
          <w:szCs w:val="24"/>
        </w:rPr>
        <w:t>ningsprojekter er</w:t>
      </w:r>
      <w:r w:rsidRPr="003E7A14" w:rsidR="00D95804">
        <w:rPr>
          <w:szCs w:val="24"/>
        </w:rPr>
        <w:t xml:space="preserve"> </w:t>
      </w:r>
      <w:bookmarkStart w:name="klimaMogs" w:id="19"/>
      <w:r w:rsidRPr="003E7A14">
        <w:rPr>
          <w:szCs w:val="24"/>
        </w:rPr>
        <w:t>0</w:t>
      </w:r>
      <w:bookmarkEnd w:id="19"/>
      <w:r w:rsidRPr="003E7A14" w:rsidR="00D95804">
        <w:rPr>
          <w:szCs w:val="24"/>
        </w:rPr>
        <w:t xml:space="preserve"> </w:t>
      </w:r>
      <w:r w:rsidRPr="003E7A14">
        <w:rPr>
          <w:szCs w:val="24"/>
        </w:rPr>
        <w:t>kr.</w:t>
      </w:r>
    </w:p>
    <w:p w:rsidR="005E5AD1" w:rsidP="00A61766" w:rsidRDefault="005E5AD1">
      <w:pPr>
        <w:rPr>
          <w:b/>
          <w:szCs w:val="24"/>
        </w:rPr>
      </w:pPr>
    </w:p>
    <w:p w:rsidR="00A61766" w:rsidP="00A61766" w:rsidRDefault="00A61766">
      <w:pPr>
        <w:rPr>
          <w:b/>
          <w:szCs w:val="24"/>
        </w:rPr>
      </w:pPr>
      <w:r>
        <w:rPr>
          <w:b/>
          <w:szCs w:val="24"/>
        </w:rPr>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2012</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BF3F38">
        <w:t xml:space="preserve">driftsomkostninger til miljø- og servicemål </w:t>
      </w:r>
      <w:r w:rsidRPr="00965142">
        <w:t xml:space="preserve">og faktiske beløb </w:t>
      </w:r>
      <w:r w:rsidRPr="00703DB0">
        <w:t xml:space="preserve">i henhold til reguleringsregnskabet for prisloftsåret </w:t>
      </w:r>
      <w:r w:rsidRPr="00965142">
        <w:t>for det år, der ligger to år forud for prisloftåret, jf. prislof</w:t>
      </w:r>
      <w:r w:rsidRPr="00965142">
        <w:t>t</w:t>
      </w:r>
      <w:r w:rsidRPr="00965142">
        <w:t xml:space="preserve">bekendtgørelsens § 5, stk. </w:t>
      </w:r>
      <w:r>
        <w:t>2</w:t>
      </w:r>
      <w:r w:rsidRPr="00965142">
        <w:t xml:space="preserve">. </w:t>
      </w:r>
    </w:p>
    <w:p w:rsidRPr="00965142" w:rsidR="00A61766" w:rsidP="00A61766" w:rsidRDefault="00A61766">
      <w:pPr>
        <w:autoSpaceDE w:val="0"/>
        <w:autoSpaceDN w:val="0"/>
        <w:adjustRightInd w:val="0"/>
        <w:jc w:val="both"/>
      </w:pPr>
      <w:r w:rsidRPr="00965142">
        <w:lastRenderedPageBreak/>
        <w:t>Det vil sige, at de</w:t>
      </w:r>
      <w:r>
        <w:t>r i selskabets prisloft for 2014</w:t>
      </w:r>
      <w:r w:rsidRPr="00965142">
        <w:t xml:space="preserve"> foretages en korrektion for forskellen mellem selskabets budgetterede </w:t>
      </w:r>
      <w:r w:rsidRPr="00BF3F38">
        <w:t>driftsomkostninger til mi</w:t>
      </w:r>
      <w:r w:rsidRPr="00BF3F38">
        <w:t>l</w:t>
      </w:r>
      <w:r w:rsidRPr="00BF3F38">
        <w:t xml:space="preserve">jø- og servicemål </w:t>
      </w:r>
      <w:r>
        <w:t>i 2012</w:t>
      </w:r>
      <w:r w:rsidRPr="00965142">
        <w:t xml:space="preserve">, som blev anvendt ved fastsættelsen af tillægget for </w:t>
      </w:r>
      <w:r w:rsidRPr="009B3DFA">
        <w:t xml:space="preserve">driftsomkostninger til miljø- og servicemål </w:t>
      </w:r>
      <w:r w:rsidRPr="00965142">
        <w:t>i prisloftet for 201</w:t>
      </w:r>
      <w:r>
        <w:t>2</w:t>
      </w:r>
      <w:r w:rsidRPr="00965142">
        <w:t xml:space="preserve">, og selskabets faktiske </w:t>
      </w:r>
      <w:r w:rsidRPr="009B3DFA">
        <w:t xml:space="preserve">driftsomkostninger til miljø- og servicemål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Pr="003E7A14"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budgetterede </w:t>
      </w:r>
      <w:r w:rsidRPr="00BF3F38">
        <w:t>driftsomkos</w:t>
      </w:r>
      <w:r w:rsidRPr="00BF3F38">
        <w:t>t</w:t>
      </w:r>
      <w:r w:rsidRPr="00BF3F38">
        <w:t>ninger til miljø- og servicemål</w:t>
      </w:r>
      <w:r>
        <w:t xml:space="preserve"> </w:t>
      </w:r>
      <w:r w:rsidRPr="00965142">
        <w:t>på i alt</w:t>
      </w:r>
      <w:r>
        <w:t xml:space="preserve"> </w:t>
      </w:r>
      <w:r w:rsidR="00DF1B2E">
        <w:t>1.549.360</w:t>
      </w:r>
      <w:r>
        <w:t xml:space="preserve"> </w:t>
      </w:r>
      <w:r w:rsidRPr="00965142">
        <w:t xml:space="preserve">kr. Det fremgår </w:t>
      </w:r>
      <w:r>
        <w:t>af reg</w:t>
      </w:r>
      <w:r>
        <w:t>u</w:t>
      </w:r>
      <w:r>
        <w:t>leringsregnskabet,</w:t>
      </w:r>
      <w:r w:rsidRPr="00965142">
        <w:t xml:space="preserve"> </w:t>
      </w:r>
      <w:r w:rsidRPr="003E7A14">
        <w:t>at selskabets driftsomkostninger til miljø- og servic</w:t>
      </w:r>
      <w:r w:rsidRPr="003E7A14">
        <w:t>e</w:t>
      </w:r>
      <w:r w:rsidRPr="003E7A14">
        <w:t xml:space="preserve">mål i 2012 var på </w:t>
      </w:r>
      <w:r w:rsidRPr="003E7A14" w:rsidR="00DF1B2E">
        <w:t>1.099.974</w:t>
      </w:r>
      <w:r w:rsidRPr="003E7A14">
        <w:t xml:space="preserve"> kr.</w:t>
      </w:r>
    </w:p>
    <w:p w:rsidRPr="003E7A14"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3E7A14">
        <w:t>Korrektionen i prisloftet for 2014 bliver således</w:t>
      </w:r>
      <w:r w:rsidRPr="003E7A14" w:rsidR="00DF1B2E">
        <w:t xml:space="preserve"> et fradrag på</w:t>
      </w:r>
      <w:r w:rsidRPr="003E7A14">
        <w:t xml:space="preserve"> </w:t>
      </w:r>
      <w:bookmarkStart w:name="KorrMogs" w:id="20"/>
      <w:r w:rsidRPr="003E7A14" w:rsidR="00DF1B2E">
        <w:t>449.386</w:t>
      </w:r>
      <w:bookmarkEnd w:id="20"/>
      <w:r w:rsidRPr="003E7A14">
        <w:t xml:space="preserve"> kr. (</w:t>
      </w:r>
      <w:r w:rsidRPr="003E7A14" w:rsidR="00DF1B2E">
        <w:t>1.099.974</w:t>
      </w:r>
      <w:r w:rsidRPr="003E7A14">
        <w:t xml:space="preserve"> kr. – </w:t>
      </w:r>
      <w:r w:rsidRPr="003E7A14" w:rsidR="00DF1B2E">
        <w:t>1.549.360</w:t>
      </w:r>
      <w:r w:rsidRPr="003E7A14">
        <w:t xml:space="preserve"> kr.)</w:t>
      </w:r>
      <w:r>
        <w:t xml:space="preserve"> </w:t>
      </w:r>
    </w:p>
    <w:p w:rsidRPr="001F00F2" w:rsidR="0073621A" w:rsidP="001C2FA9" w:rsidRDefault="0073621A"/>
    <w:p w:rsidRPr="00F34DF2" w:rsidR="00A61766" w:rsidP="00A61766" w:rsidRDefault="00A61766">
      <w:pPr>
        <w:rPr>
          <w:b/>
          <w:szCs w:val="24"/>
        </w:rPr>
      </w:pPr>
      <w:r w:rsidRPr="00F34DF2">
        <w:rPr>
          <w:b/>
          <w:szCs w:val="24"/>
        </w:rPr>
        <w:t xml:space="preserve">Tillæg/fradrag for nettofinansielle poster i 2014 </w:t>
      </w:r>
    </w:p>
    <w:p w:rsidRPr="00F8783B" w:rsidR="00A61766" w:rsidP="00A61766" w:rsidRDefault="00A61766">
      <w:pPr>
        <w:jc w:val="both"/>
      </w:pPr>
      <w:r w:rsidRPr="00F34DF2">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00A61766" w:rsidP="00A61766" w:rsidRDefault="0004183D">
      <w:pPr>
        <w:jc w:val="both"/>
      </w:pPr>
      <w:r>
        <w:t>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p>
    <w:p w:rsidR="00A61766" w:rsidP="00A61766" w:rsidRDefault="00A61766">
      <w:pPr>
        <w:jc w:val="both"/>
      </w:pPr>
      <w:r w:rsidRPr="00F8783B">
        <w:t xml:space="preserve">Selskabet forventer </w:t>
      </w:r>
      <w:r w:rsidRPr="0004183D">
        <w:t xml:space="preserve">renteudgifter på </w:t>
      </w:r>
      <w:r w:rsidRPr="0004183D" w:rsidR="002E30C5">
        <w:t>400.000</w:t>
      </w:r>
      <w:r w:rsidRPr="0004183D">
        <w:t xml:space="preserve"> kr. i prisloftåret 2014. Se</w:t>
      </w:r>
      <w:r w:rsidRPr="0004183D">
        <w:t>l</w:t>
      </w:r>
      <w:r w:rsidRPr="0004183D">
        <w:t>skabet forventer ingen renteindtægter</w:t>
      </w:r>
      <w:r>
        <w:t xml:space="preserve"> i 2014</w:t>
      </w:r>
      <w:r w:rsidRPr="00F8783B">
        <w:t xml:space="preserve">. </w:t>
      </w:r>
    </w:p>
    <w:p w:rsidRPr="00F8783B" w:rsidR="00A61766" w:rsidP="00A61766" w:rsidRDefault="00A61766">
      <w:pPr>
        <w:jc w:val="both"/>
      </w:pPr>
    </w:p>
    <w:p w:rsidR="00A61766" w:rsidP="00A61766" w:rsidRDefault="00A61766">
      <w:pPr>
        <w:jc w:val="both"/>
      </w:pPr>
      <w:r w:rsidRPr="00F8783B">
        <w:t xml:space="preserve">På baggrund af ovenstående fastsætter Forsyningssekretariatet selskabets nettofinansielle poster til </w:t>
      </w:r>
      <w:bookmarkStart w:name="NetFin" w:id="21"/>
      <w:r w:rsidRPr="0004183D" w:rsidR="002E30C5">
        <w:t>400.000</w:t>
      </w:r>
      <w:bookmarkEnd w:id="21"/>
      <w:r w:rsidRPr="00F8783B">
        <w:t xml:space="preserve"> kr. (</w:t>
      </w:r>
      <w:r w:rsidR="002E30C5">
        <w:t>400.000</w:t>
      </w:r>
      <w:r w:rsidRPr="00F8783B">
        <w:t xml:space="preserve"> kr. – </w:t>
      </w:r>
      <w:r w:rsidR="002E30C5">
        <w:t>0</w:t>
      </w:r>
      <w:r>
        <w:t xml:space="preserve"> kr.) i prisloftet for 2014</w:t>
      </w:r>
      <w:r w:rsidRPr="00F8783B">
        <w:t xml:space="preserve">. </w:t>
      </w:r>
    </w:p>
    <w:p w:rsidR="001F00F2" w:rsidP="001F00F2" w:rsidRDefault="001F00F2">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t xml:space="preserve">tiske beløb </w:t>
      </w:r>
      <w:r w:rsidRPr="00703DB0">
        <w:t xml:space="preserve">i henhold til reguleringsregnskabet for prisloftsåret </w:t>
      </w:r>
      <w:r w:rsidRPr="00965142">
        <w:t>for det år, 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r w:rsidRPr="00965142">
        <w:lastRenderedPageBreak/>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4E54F5">
        <w:t>0</w:t>
      </w:r>
      <w:r>
        <w:t xml:space="preserve"> </w:t>
      </w:r>
      <w:r w:rsidRPr="00965142">
        <w:t xml:space="preserve">kr. Det fremgår </w:t>
      </w:r>
      <w:r>
        <w:t>af reguleringsregnskabet,</w:t>
      </w:r>
      <w:r w:rsidRPr="00965142">
        <w:t xml:space="preserve"> at selskabets</w:t>
      </w:r>
      <w:r>
        <w:t xml:space="preserve"> nettofinansielle poster </w:t>
      </w:r>
      <w:r w:rsidRPr="00965142">
        <w:t>i 201</w:t>
      </w:r>
      <w:r>
        <w:t>2</w:t>
      </w:r>
      <w:r w:rsidRPr="00965142">
        <w:t xml:space="preserve"> </w:t>
      </w:r>
      <w:r>
        <w:t>va</w:t>
      </w:r>
      <w:r w:rsidRPr="00965142">
        <w:t xml:space="preserve">r på </w:t>
      </w:r>
      <w:r w:rsidR="004E54F5">
        <w:t>92.894</w:t>
      </w:r>
      <w:r>
        <w:t xml:space="preserve"> </w:t>
      </w:r>
      <w:r w:rsidRPr="00965142">
        <w:t>kr. Korrektionen i prislof</w:t>
      </w:r>
      <w:r>
        <w:t>tet for 2014</w:t>
      </w:r>
      <w:r w:rsidRPr="00965142">
        <w:t xml:space="preserve"> bliver således </w:t>
      </w:r>
      <w:bookmarkStart w:name="KorrNetFin" w:id="22"/>
      <w:r w:rsidRPr="0004183D" w:rsidR="004E54F5">
        <w:t>92.894</w:t>
      </w:r>
      <w:bookmarkEnd w:id="22"/>
      <w:r>
        <w:t xml:space="preserve"> </w:t>
      </w:r>
      <w:r w:rsidRPr="00965142">
        <w:t>kr. (</w:t>
      </w:r>
      <w:r w:rsidR="004E54F5">
        <w:t>92.894</w:t>
      </w:r>
      <w:r w:rsidRPr="00965142">
        <w:t xml:space="preserve"> kr. – </w:t>
      </w:r>
      <w:r w:rsidR="004E54F5">
        <w:t>0</w:t>
      </w:r>
      <w:r>
        <w:t xml:space="preserve"> </w:t>
      </w:r>
      <w:r w:rsidRPr="00965142">
        <w:t>kr.)</w:t>
      </w:r>
    </w:p>
    <w:p w:rsidR="000103BD" w:rsidP="00A61766" w:rsidRDefault="000103BD">
      <w:pPr>
        <w:autoSpaceDE w:val="0"/>
        <w:autoSpaceDN w:val="0"/>
        <w:adjustRightInd w:val="0"/>
        <w:jc w:val="both"/>
      </w:pPr>
    </w:p>
    <w:p w:rsidR="003E7A14" w:rsidP="00A61766" w:rsidRDefault="003E7A14">
      <w:pPr>
        <w:autoSpaceDE w:val="0"/>
        <w:autoSpaceDN w:val="0"/>
        <w:adjustRightInd w:val="0"/>
        <w:jc w:val="both"/>
      </w:pPr>
    </w:p>
    <w:p w:rsidRPr="003D109A" w:rsidR="00A61766" w:rsidP="00A61766" w:rsidRDefault="00A61766">
      <w:pPr>
        <w:rPr>
          <w:b/>
          <w:sz w:val="28"/>
          <w:szCs w:val="28"/>
        </w:rPr>
      </w:pPr>
      <w:r w:rsidRPr="003D109A">
        <w:rPr>
          <w:b/>
          <w:sz w:val="28"/>
          <w:szCs w:val="28"/>
        </w:rPr>
        <w:t>Historisk over- eller underdækning</w:t>
      </w:r>
    </w:p>
    <w:p w:rsidRPr="00F34DF2" w:rsidR="00A61766" w:rsidP="00A61766" w:rsidRDefault="00A61766"/>
    <w:p w:rsidR="00A61766" w:rsidP="00A61766" w:rsidRDefault="00A61766">
      <w:pPr>
        <w:jc w:val="both"/>
        <w:rPr>
          <w:b/>
          <w:szCs w:val="24"/>
        </w:rPr>
      </w:pPr>
      <w:r w:rsidRPr="00F34DF2">
        <w:rPr>
          <w:b/>
          <w:szCs w:val="24"/>
        </w:rPr>
        <w:t xml:space="preserve">Tillæg/fradrag for over- eller underdækning til og med 2010 </w:t>
      </w:r>
    </w:p>
    <w:p w:rsidR="00140A2F" w:rsidP="00A61766" w:rsidRDefault="00140A2F">
      <w:pPr>
        <w:jc w:val="both"/>
      </w:pPr>
      <w:r>
        <w:t xml:space="preserve">I prislofterne for 2011 og 2012 er selskabets over- </w:t>
      </w:r>
      <w:r w:rsidRPr="00AC299A">
        <w:t>eller underdækning</w:t>
      </w:r>
      <w:r>
        <w:t xml:space="preserve"> opgjort frem til og med 31. december 2010, hvorefter selskabet blev o</w:t>
      </w:r>
      <w:r>
        <w:t>m</w:t>
      </w:r>
      <w:r>
        <w:t xml:space="preserve">fattet af prisloftreglerne. </w:t>
      </w:r>
    </w:p>
    <w:p w:rsidR="00140A2F" w:rsidP="00140A2F" w:rsidRDefault="00140A2F">
      <w:pPr>
        <w:jc w:val="both"/>
      </w:pPr>
    </w:p>
    <w:p w:rsidR="000103BD" w:rsidP="00A61766" w:rsidRDefault="00A61766">
      <w:pPr>
        <w:jc w:val="both"/>
      </w:pPr>
      <w:r>
        <w:t>Følgende oplysninger vedrørende den opgjorte over- eller underdækning fremgår af selskabets prisloft for 2012:</w:t>
      </w:r>
    </w:p>
    <w:p w:rsidR="00B007F9" w:rsidP="003F35D4" w:rsidRDefault="00B007F9">
      <w:pPr>
        <w:jc w:val="both"/>
      </w:pPr>
    </w:p>
    <w:tbl>
      <w:tblPr>
        <w:tblStyle w:val="Tabel-Gitter"/>
        <w:tblW w:w="0" w:type="auto"/>
        <w:tblLook w:val="04A0" w:firstRow="1" w:lastRow="0" w:firstColumn="1" w:lastColumn="0" w:noHBand="0" w:noVBand="1"/>
      </w:tblPr>
      <w:tblGrid>
        <w:gridCol w:w="5211"/>
        <w:gridCol w:w="1560"/>
        <w:gridCol w:w="503"/>
      </w:tblGrid>
      <w:tr w:rsidR="003F35D4" w:rsidTr="005B304B">
        <w:tc>
          <w:tcPr>
            <w:tcW w:w="5211" w:type="dxa"/>
            <w:shd w:val="clear" w:color="auto" w:fill="000000" w:themeFill="text1"/>
          </w:tcPr>
          <w:p w:rsidRPr="00557A61" w:rsidR="003F35D4" w:rsidP="005B304B" w:rsidRDefault="003F35D4">
            <w:pPr>
              <w:jc w:val="both"/>
              <w:rPr>
                <w:b/>
                <w:color w:val="FFFFFF" w:themeColor="background1"/>
                <w:sz w:val="20"/>
              </w:rPr>
            </w:pPr>
            <w:r w:rsidRPr="00557A61">
              <w:rPr>
                <w:b/>
                <w:color w:val="FFFFFF" w:themeColor="background1"/>
                <w:sz w:val="20"/>
              </w:rPr>
              <w:t>Over- eller underdækningen</w:t>
            </w:r>
          </w:p>
        </w:tc>
        <w:tc>
          <w:tcPr>
            <w:tcW w:w="1560" w:type="dxa"/>
            <w:tcBorders>
              <w:bottom w:val="single" w:color="auto" w:sz="4" w:space="0"/>
            </w:tcBorders>
            <w:shd w:val="clear" w:color="auto" w:fill="000000" w:themeFill="text1"/>
          </w:tcPr>
          <w:p w:rsidRPr="00557A61" w:rsidR="003F35D4" w:rsidP="005B304B" w:rsidRDefault="003F35D4">
            <w:pPr>
              <w:jc w:val="both"/>
              <w:rPr>
                <w:sz w:val="20"/>
              </w:rPr>
            </w:pPr>
          </w:p>
        </w:tc>
        <w:tc>
          <w:tcPr>
            <w:tcW w:w="503" w:type="dxa"/>
            <w:shd w:val="clear" w:color="auto" w:fill="000000" w:themeFill="text1"/>
          </w:tcPr>
          <w:p w:rsidRPr="00557A61" w:rsidR="003F35D4" w:rsidP="005B304B" w:rsidRDefault="003F35D4">
            <w:pPr>
              <w:jc w:val="both"/>
              <w:rPr>
                <w:sz w:val="20"/>
              </w:rPr>
            </w:pPr>
          </w:p>
        </w:tc>
      </w:tr>
      <w:tr w:rsidR="003F35D4" w:rsidTr="005B304B">
        <w:tc>
          <w:tcPr>
            <w:tcW w:w="5211" w:type="dxa"/>
            <w:tcBorders>
              <w:right w:val="single" w:color="auto" w:sz="4" w:space="0"/>
            </w:tcBorders>
          </w:tcPr>
          <w:p w:rsidRPr="00557A61" w:rsidR="003F35D4" w:rsidP="005B304B" w:rsidRDefault="003F35D4">
            <w:pPr>
              <w:jc w:val="both"/>
              <w:rPr>
                <w:sz w:val="20"/>
              </w:rPr>
            </w:pPr>
            <w:r w:rsidRPr="00257DE4">
              <w:rPr>
                <w:sz w:val="20"/>
              </w:rPr>
              <w:t xml:space="preserve">Opgjort over- eller underdækning i alt </w:t>
            </w:r>
            <w:r>
              <w:rPr>
                <w:sz w:val="20"/>
              </w:rPr>
              <w:t>pr. 31. december 2010</w:t>
            </w:r>
          </w:p>
        </w:tc>
        <w:tc>
          <w:tcPr>
            <w:tcW w:w="1560" w:type="dxa"/>
            <w:tcBorders>
              <w:top w:val="single" w:color="auto" w:sz="4" w:space="0"/>
              <w:left w:val="single" w:color="auto" w:sz="4" w:space="0"/>
              <w:bottom w:val="single" w:color="auto" w:sz="4" w:space="0"/>
              <w:right w:val="nil"/>
            </w:tcBorders>
          </w:tcPr>
          <w:p w:rsidRPr="00557A61" w:rsidR="003F35D4" w:rsidP="005B304B" w:rsidRDefault="003F35D4">
            <w:pPr>
              <w:jc w:val="right"/>
              <w:rPr>
                <w:sz w:val="20"/>
              </w:rPr>
            </w:pPr>
            <w:r>
              <w:rPr>
                <w:sz w:val="20"/>
              </w:rPr>
              <w:t>-3.668.206</w:t>
            </w:r>
          </w:p>
        </w:tc>
        <w:tc>
          <w:tcPr>
            <w:tcW w:w="503" w:type="dxa"/>
            <w:tcBorders>
              <w:left w:val="nil"/>
            </w:tcBorders>
          </w:tcPr>
          <w:p w:rsidRPr="00557A61" w:rsidR="003F35D4" w:rsidP="005B304B" w:rsidRDefault="003F35D4">
            <w:pPr>
              <w:jc w:val="both"/>
              <w:rPr>
                <w:sz w:val="20"/>
              </w:rPr>
            </w:pPr>
            <w:r>
              <w:rPr>
                <w:sz w:val="20"/>
              </w:rPr>
              <w:t>kr.</w:t>
            </w:r>
          </w:p>
        </w:tc>
      </w:tr>
      <w:tr w:rsidR="003F35D4" w:rsidTr="005B304B">
        <w:tc>
          <w:tcPr>
            <w:tcW w:w="5211" w:type="dxa"/>
            <w:tcBorders>
              <w:right w:val="single" w:color="auto" w:sz="4" w:space="0"/>
            </w:tcBorders>
          </w:tcPr>
          <w:p w:rsidRPr="00557A61" w:rsidR="003F35D4" w:rsidP="005B304B" w:rsidRDefault="003F35D4">
            <w:pPr>
              <w:jc w:val="both"/>
              <w:rPr>
                <w:sz w:val="20"/>
              </w:rPr>
            </w:pPr>
            <w:r w:rsidRPr="00257DE4">
              <w:rPr>
                <w:sz w:val="20"/>
              </w:rPr>
              <w:t>- heraf indregnet i prislofte</w:t>
            </w:r>
            <w:r>
              <w:rPr>
                <w:sz w:val="20"/>
              </w:rPr>
              <w:t>rne</w:t>
            </w:r>
            <w:r w:rsidRPr="00257DE4">
              <w:rPr>
                <w:sz w:val="20"/>
              </w:rPr>
              <w:t xml:space="preserve"> for 2012</w:t>
            </w:r>
            <w:r>
              <w:rPr>
                <w:sz w:val="20"/>
              </w:rPr>
              <w:t>-2013</w:t>
            </w:r>
          </w:p>
        </w:tc>
        <w:tc>
          <w:tcPr>
            <w:tcW w:w="1560" w:type="dxa"/>
            <w:tcBorders>
              <w:top w:val="single" w:color="auto" w:sz="4" w:space="0"/>
              <w:left w:val="single" w:color="auto" w:sz="4" w:space="0"/>
              <w:bottom w:val="single" w:color="auto" w:sz="4" w:space="0"/>
              <w:right w:val="nil"/>
            </w:tcBorders>
          </w:tcPr>
          <w:p w:rsidRPr="00557A61" w:rsidR="003F35D4" w:rsidP="005B304B" w:rsidRDefault="003F35D4">
            <w:pPr>
              <w:jc w:val="right"/>
              <w:rPr>
                <w:sz w:val="20"/>
              </w:rPr>
            </w:pPr>
            <w:r>
              <w:rPr>
                <w:sz w:val="20"/>
              </w:rPr>
              <w:t>1.834.104</w:t>
            </w:r>
          </w:p>
        </w:tc>
        <w:tc>
          <w:tcPr>
            <w:tcW w:w="503" w:type="dxa"/>
            <w:tcBorders>
              <w:left w:val="nil"/>
            </w:tcBorders>
          </w:tcPr>
          <w:p w:rsidRPr="00557A61" w:rsidR="003F35D4" w:rsidP="005B304B" w:rsidRDefault="003F35D4">
            <w:pPr>
              <w:jc w:val="both"/>
              <w:rPr>
                <w:sz w:val="20"/>
              </w:rPr>
            </w:pPr>
            <w:r>
              <w:rPr>
                <w:sz w:val="20"/>
              </w:rPr>
              <w:t>kr.</w:t>
            </w:r>
          </w:p>
        </w:tc>
      </w:tr>
      <w:tr w:rsidR="003F35D4" w:rsidTr="005B304B">
        <w:tc>
          <w:tcPr>
            <w:tcW w:w="5211" w:type="dxa"/>
            <w:tcBorders>
              <w:right w:val="single" w:color="auto" w:sz="4" w:space="0"/>
            </w:tcBorders>
            <w:shd w:val="clear" w:color="auto" w:fill="000000" w:themeFill="text1"/>
          </w:tcPr>
          <w:p w:rsidRPr="00557A61" w:rsidR="003F35D4" w:rsidP="005B304B" w:rsidRDefault="003F35D4">
            <w:pPr>
              <w:jc w:val="both"/>
              <w:rPr>
                <w:sz w:val="20"/>
              </w:rPr>
            </w:pPr>
            <w:r w:rsidRPr="00257DE4">
              <w:rPr>
                <w:b/>
                <w:sz w:val="20"/>
              </w:rPr>
              <w:t>Endnu ikke indregnet over- eller underdækning</w:t>
            </w:r>
          </w:p>
        </w:tc>
        <w:tc>
          <w:tcPr>
            <w:tcW w:w="1560" w:type="dxa"/>
            <w:tcBorders>
              <w:top w:val="single" w:color="auto" w:sz="4" w:space="0"/>
              <w:left w:val="single" w:color="auto" w:sz="4" w:space="0"/>
              <w:bottom w:val="single" w:color="auto" w:sz="4" w:space="0"/>
              <w:right w:val="nil"/>
            </w:tcBorders>
          </w:tcPr>
          <w:p w:rsidRPr="008562F7" w:rsidR="003F35D4" w:rsidP="005B304B" w:rsidRDefault="003F35D4">
            <w:pPr>
              <w:jc w:val="right"/>
              <w:rPr>
                <w:b/>
                <w:sz w:val="20"/>
              </w:rPr>
            </w:pPr>
            <w:r w:rsidRPr="008562F7">
              <w:rPr>
                <w:b/>
                <w:sz w:val="20"/>
              </w:rPr>
              <w:t>-1.834.102</w:t>
            </w:r>
          </w:p>
        </w:tc>
        <w:tc>
          <w:tcPr>
            <w:tcW w:w="503" w:type="dxa"/>
            <w:tcBorders>
              <w:left w:val="nil"/>
            </w:tcBorders>
          </w:tcPr>
          <w:p w:rsidRPr="00557A61" w:rsidR="003F35D4" w:rsidP="005B304B" w:rsidRDefault="003F35D4">
            <w:pPr>
              <w:jc w:val="both"/>
              <w:rPr>
                <w:sz w:val="20"/>
              </w:rPr>
            </w:pPr>
            <w:r>
              <w:rPr>
                <w:sz w:val="20"/>
              </w:rPr>
              <w:t>kr.</w:t>
            </w:r>
          </w:p>
        </w:tc>
      </w:tr>
      <w:tr w:rsidR="003F35D4" w:rsidTr="005B304B">
        <w:tc>
          <w:tcPr>
            <w:tcW w:w="5211" w:type="dxa"/>
            <w:tcBorders>
              <w:right w:val="single" w:color="auto" w:sz="4" w:space="0"/>
            </w:tcBorders>
          </w:tcPr>
          <w:p w:rsidRPr="00557A61" w:rsidR="003F35D4" w:rsidP="005B304B" w:rsidRDefault="003F35D4">
            <w:pPr>
              <w:jc w:val="both"/>
              <w:rPr>
                <w:sz w:val="20"/>
              </w:rPr>
            </w:pPr>
            <w:r w:rsidRPr="00257DE4">
              <w:rPr>
                <w:sz w:val="20"/>
              </w:rPr>
              <w:t>Resterende indregningsperiode (fastsat i prisloftet for 2012)</w:t>
            </w:r>
          </w:p>
        </w:tc>
        <w:tc>
          <w:tcPr>
            <w:tcW w:w="1560" w:type="dxa"/>
            <w:tcBorders>
              <w:top w:val="single" w:color="auto" w:sz="4" w:space="0"/>
              <w:left w:val="single" w:color="auto" w:sz="4" w:space="0"/>
              <w:bottom w:val="single" w:color="auto" w:sz="4" w:space="0"/>
              <w:right w:val="nil"/>
            </w:tcBorders>
          </w:tcPr>
          <w:p w:rsidRPr="00557A61" w:rsidR="003F35D4" w:rsidP="005B304B" w:rsidRDefault="003F35D4">
            <w:pPr>
              <w:jc w:val="right"/>
              <w:rPr>
                <w:sz w:val="20"/>
              </w:rPr>
            </w:pPr>
            <w:r>
              <w:rPr>
                <w:sz w:val="20"/>
              </w:rPr>
              <w:t>2</w:t>
            </w:r>
          </w:p>
        </w:tc>
        <w:tc>
          <w:tcPr>
            <w:tcW w:w="503" w:type="dxa"/>
            <w:tcBorders>
              <w:left w:val="nil"/>
            </w:tcBorders>
          </w:tcPr>
          <w:p w:rsidRPr="00557A61" w:rsidR="003F35D4" w:rsidP="005B304B" w:rsidRDefault="003F35D4">
            <w:pPr>
              <w:jc w:val="both"/>
              <w:rPr>
                <w:sz w:val="20"/>
              </w:rPr>
            </w:pPr>
            <w:r>
              <w:rPr>
                <w:sz w:val="20"/>
              </w:rPr>
              <w:t>År</w:t>
            </w:r>
          </w:p>
        </w:tc>
      </w:tr>
      <w:tr w:rsidR="003F35D4" w:rsidTr="005B304B">
        <w:tc>
          <w:tcPr>
            <w:tcW w:w="5211" w:type="dxa"/>
            <w:tcBorders>
              <w:right w:val="single" w:color="auto" w:sz="4" w:space="0"/>
            </w:tcBorders>
            <w:shd w:val="clear" w:color="auto" w:fill="000000" w:themeFill="text1"/>
          </w:tcPr>
          <w:p w:rsidRPr="00557A61" w:rsidR="003F35D4" w:rsidP="003E7A14" w:rsidRDefault="003F35D4">
            <w:pPr>
              <w:jc w:val="both"/>
              <w:rPr>
                <w:sz w:val="20"/>
              </w:rPr>
            </w:pPr>
            <w:r w:rsidRPr="00257DE4">
              <w:rPr>
                <w:b/>
                <w:sz w:val="20"/>
              </w:rPr>
              <w:t>Tillæg i prislofte</w:t>
            </w:r>
            <w:r>
              <w:rPr>
                <w:b/>
                <w:sz w:val="20"/>
              </w:rPr>
              <w:t>r</w:t>
            </w:r>
          </w:p>
        </w:tc>
        <w:tc>
          <w:tcPr>
            <w:tcW w:w="1560" w:type="dxa"/>
            <w:tcBorders>
              <w:top w:val="single" w:color="auto" w:sz="4" w:space="0"/>
              <w:left w:val="single" w:color="auto" w:sz="4" w:space="0"/>
              <w:bottom w:val="single" w:color="auto" w:sz="4" w:space="0"/>
              <w:right w:val="nil"/>
            </w:tcBorders>
          </w:tcPr>
          <w:p w:rsidRPr="00557A61" w:rsidR="003F35D4" w:rsidP="005B304B" w:rsidRDefault="003F35D4">
            <w:pPr>
              <w:jc w:val="right"/>
              <w:rPr>
                <w:sz w:val="20"/>
              </w:rPr>
            </w:pPr>
            <w:r>
              <w:rPr>
                <w:sz w:val="20"/>
              </w:rPr>
              <w:t>917.052</w:t>
            </w:r>
          </w:p>
        </w:tc>
        <w:tc>
          <w:tcPr>
            <w:tcW w:w="503" w:type="dxa"/>
            <w:tcBorders>
              <w:left w:val="nil"/>
            </w:tcBorders>
          </w:tcPr>
          <w:p w:rsidRPr="00557A61" w:rsidR="003F35D4" w:rsidP="005B304B" w:rsidRDefault="003F35D4">
            <w:pPr>
              <w:jc w:val="both"/>
              <w:rPr>
                <w:sz w:val="20"/>
              </w:rPr>
            </w:pPr>
            <w:r>
              <w:rPr>
                <w:sz w:val="20"/>
              </w:rPr>
              <w:t>kr.</w:t>
            </w:r>
          </w:p>
        </w:tc>
      </w:tr>
    </w:tbl>
    <w:p w:rsidR="004C6E2F" w:rsidP="003F35D4" w:rsidRDefault="004C6E2F">
      <w:pPr>
        <w:jc w:val="both"/>
      </w:pPr>
    </w:p>
    <w:p w:rsidR="003F35D4" w:rsidP="003F35D4" w:rsidRDefault="003F35D4">
      <w:pPr>
        <w:jc w:val="both"/>
      </w:pPr>
      <w:r>
        <w:t>Glostrup Kommune har konstateret, at kommunen ved en fejl i årene 2008, 2009 og 2010 har betalt vejafvandingsbidrag til Glostrup Spild</w:t>
      </w:r>
      <w:r>
        <w:t>e</w:t>
      </w:r>
      <w:r>
        <w:t>vand for de tidligere amtsveje i henhold til de amtslige takster. Det er sket samtidig med</w:t>
      </w:r>
      <w:r w:rsidR="003D6D32">
        <w:t>,</w:t>
      </w:r>
      <w:r>
        <w:t xml:space="preserve"> at kommunen har betalt vejbidrag til selskabet for alle vejene (incl. de tidligere amtsveje). Derfor har kommunen opkrævet i alt 1.758.582 kr. excl. moms hos </w:t>
      </w:r>
      <w:r w:rsidR="003D6D32">
        <w:t>selskabet</w:t>
      </w:r>
      <w:r>
        <w:t>. Selskabet har fremlagt de opri</w:t>
      </w:r>
      <w:r>
        <w:t>n</w:t>
      </w:r>
      <w:r>
        <w:t>delige fakturaer fra 2009 og 2010.</w:t>
      </w:r>
    </w:p>
    <w:p w:rsidR="003F35D4" w:rsidP="003F35D4" w:rsidRDefault="003F35D4">
      <w:pPr>
        <w:jc w:val="both"/>
      </w:pPr>
    </w:p>
    <w:p w:rsidR="003F35D4" w:rsidP="003F35D4" w:rsidRDefault="003F35D4">
      <w:pPr>
        <w:jc w:val="both"/>
      </w:pPr>
      <w:r>
        <w:t xml:space="preserve">Beløbet er </w:t>
      </w:r>
      <w:r w:rsidR="003D6D32">
        <w:t>her</w:t>
      </w:r>
      <w:r>
        <w:t>efter modregnet i indtægterne i 2012, hvilket har reduceret de indberettede indtægter, der i prisloftet 2014 bruges til at kontrollere overholdelsen af prisloftet, jf. nedenfor.</w:t>
      </w:r>
    </w:p>
    <w:p w:rsidR="003F35D4" w:rsidP="003F35D4" w:rsidRDefault="003F35D4">
      <w:pPr>
        <w:jc w:val="both"/>
      </w:pPr>
    </w:p>
    <w:p w:rsidR="003F35D4" w:rsidP="003F35D4" w:rsidRDefault="003D6D32">
      <w:pPr>
        <w:jc w:val="both"/>
      </w:pPr>
      <w:r>
        <w:t>På baggrund heraf har selskabet i</w:t>
      </w:r>
      <w:r w:rsidR="003F35D4">
        <w:t xml:space="preserve"> mail af d</w:t>
      </w:r>
      <w:r>
        <w:t>en</w:t>
      </w:r>
      <w:r w:rsidR="003F35D4">
        <w:t xml:space="preserve"> 26. oktober 2012 fremsat ønske om</w:t>
      </w:r>
      <w:r>
        <w:t>,</w:t>
      </w:r>
      <w:r w:rsidR="003F35D4">
        <w:t xml:space="preserve"> at den opgjorte underdækning pr. 31. december 2010 forøges med dette beløb, idet dette beløb ikke indgik som en kortfristet gældspost i årsregnskabet for 2010, der var grundlag for opgørelsen af selskabets underdækning.</w:t>
      </w:r>
    </w:p>
    <w:p w:rsidR="006D154F" w:rsidP="003F35D4" w:rsidRDefault="006D154F">
      <w:pPr>
        <w:jc w:val="both"/>
      </w:pPr>
    </w:p>
    <w:p w:rsidR="006D154F" w:rsidP="006D154F" w:rsidRDefault="006D154F">
      <w:pPr>
        <w:jc w:val="both"/>
      </w:pPr>
      <w:r>
        <w:t>Selskabet har desuden anmodet om at den resterende underdækning in</w:t>
      </w:r>
      <w:r>
        <w:t>d</w:t>
      </w:r>
      <w:r>
        <w:t>regnes i prisloftet over 4 år, i stedet for de tidligere anvendte 2 år.</w:t>
      </w:r>
    </w:p>
    <w:p w:rsidR="003F35D4" w:rsidP="003F35D4" w:rsidRDefault="003F35D4">
      <w:pPr>
        <w:jc w:val="both"/>
      </w:pPr>
      <w:r>
        <w:lastRenderedPageBreak/>
        <w:t xml:space="preserve">Da forholdet skulle have </w:t>
      </w:r>
      <w:r w:rsidR="003D6D32">
        <w:t>ind</w:t>
      </w:r>
      <w:r>
        <w:t>gået i opgørelsen af selskabets underdæ</w:t>
      </w:r>
      <w:r>
        <w:t>k</w:t>
      </w:r>
      <w:r>
        <w:t>ning pr. 31. december 2010, og at det først er regnskabsført i 2012</w:t>
      </w:r>
      <w:r w:rsidR="003D6D32">
        <w:t>,</w:t>
      </w:r>
      <w:r>
        <w:t xml:space="preserve"> er det Forsyningssekretariatets vurdering, at der er grundlag for at foretage de af </w:t>
      </w:r>
      <w:r w:rsidR="003D6D32">
        <w:t>selskabet</w:t>
      </w:r>
      <w:r>
        <w:t xml:space="preserve"> ønskede ændringer. </w:t>
      </w:r>
    </w:p>
    <w:p w:rsidR="003F35D4" w:rsidP="003F35D4" w:rsidRDefault="003F35D4">
      <w:pPr>
        <w:jc w:val="both"/>
      </w:pPr>
    </w:p>
    <w:p w:rsidR="00A61766" w:rsidP="00A61766" w:rsidRDefault="003F35D4">
      <w:pPr>
        <w:jc w:val="both"/>
      </w:pPr>
      <w:r>
        <w:t>Forsyningssekretariatet har på den baggrund forøget selskabets unde</w:t>
      </w:r>
      <w:r>
        <w:t>r</w:t>
      </w:r>
      <w:r>
        <w:t>dækning fra nærværende prisloft med det nævnte beløb. Samtidig er se</w:t>
      </w:r>
      <w:r>
        <w:t>l</w:t>
      </w:r>
      <w:r>
        <w:t>skabets indberettede primære indtægter forøget tilsvarende.</w:t>
      </w:r>
    </w:p>
    <w:p w:rsidR="006D154F" w:rsidP="00A61766" w:rsidRDefault="006D154F">
      <w:pPr>
        <w:jc w:val="both"/>
      </w:pPr>
    </w:p>
    <w:tbl>
      <w:tblPr>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5"/>
        <w:gridCol w:w="1595"/>
        <w:gridCol w:w="434"/>
      </w:tblGrid>
      <w:tr w:rsidRPr="00257DE4" w:rsidR="00A61766"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 xml:space="preserve">Over- eller underdækningen </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Opgjort over- eller underdækning i alt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34528A" w:rsidR="00A61766" w:rsidP="0034528A" w:rsidRDefault="0034528A">
            <w:pPr>
              <w:jc w:val="right"/>
              <w:rPr>
                <w:sz w:val="20"/>
              </w:rPr>
            </w:pPr>
            <w:r w:rsidRPr="0034528A">
              <w:rPr>
                <w:sz w:val="20"/>
              </w:rPr>
              <w:t>-3.668.206</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036CB3" w:rsidRDefault="00A61766">
            <w:pPr>
              <w:keepNext/>
              <w:rPr>
                <w:sz w:val="20"/>
              </w:rPr>
            </w:pPr>
            <w:r w:rsidRPr="00257DE4">
              <w:rPr>
                <w:sz w:val="20"/>
              </w:rPr>
              <w:t>- heraf indregnet i prislofte</w:t>
            </w:r>
            <w:r w:rsidR="00036CB3">
              <w:rPr>
                <w:sz w:val="20"/>
              </w:rPr>
              <w:t>rne</w:t>
            </w:r>
            <w:r w:rsidRPr="00257DE4">
              <w:rPr>
                <w:sz w:val="20"/>
              </w:rPr>
              <w:t xml:space="preserve"> for 2012</w:t>
            </w:r>
            <w:r w:rsidR="00036CB3">
              <w:rPr>
                <w:sz w:val="20"/>
              </w:rPr>
              <w:t>-2013</w:t>
            </w:r>
          </w:p>
        </w:tc>
        <w:tc>
          <w:tcPr>
            <w:tcW w:w="1118" w:type="pct"/>
            <w:tcBorders>
              <w:top w:val="single" w:color="auto" w:sz="4" w:space="0"/>
              <w:left w:val="single" w:color="auto" w:sz="4" w:space="0"/>
              <w:bottom w:val="single" w:color="auto" w:sz="4" w:space="0"/>
              <w:right w:val="nil"/>
            </w:tcBorders>
            <w:shd w:val="clear" w:color="auto" w:fill="auto"/>
          </w:tcPr>
          <w:p w:rsidRPr="0034528A" w:rsidR="00A61766" w:rsidP="0034528A" w:rsidRDefault="0034528A">
            <w:pPr>
              <w:jc w:val="right"/>
              <w:rPr>
                <w:sz w:val="20"/>
              </w:rPr>
            </w:pPr>
            <w:r w:rsidRPr="0034528A">
              <w:rPr>
                <w:sz w:val="20"/>
              </w:rPr>
              <w:t>1.834.104</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3F35D4"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3F35D4" w:rsidP="00036CB3" w:rsidRDefault="003F35D4">
            <w:pPr>
              <w:keepNext/>
              <w:rPr>
                <w:sz w:val="20"/>
              </w:rPr>
            </w:pPr>
            <w:r>
              <w:rPr>
                <w:sz w:val="20"/>
              </w:rPr>
              <w:t>Tilbagebetaling af for meget betalt vejbidrag</w:t>
            </w:r>
          </w:p>
        </w:tc>
        <w:tc>
          <w:tcPr>
            <w:tcW w:w="1118" w:type="pct"/>
            <w:tcBorders>
              <w:top w:val="single" w:color="auto" w:sz="4" w:space="0"/>
              <w:left w:val="single" w:color="auto" w:sz="4" w:space="0"/>
              <w:bottom w:val="single" w:color="auto" w:sz="4" w:space="0"/>
              <w:right w:val="nil"/>
            </w:tcBorders>
            <w:shd w:val="clear" w:color="auto" w:fill="auto"/>
          </w:tcPr>
          <w:p w:rsidRPr="0034528A" w:rsidR="003F35D4" w:rsidP="0034528A" w:rsidRDefault="003F35D4">
            <w:pPr>
              <w:jc w:val="right"/>
              <w:rPr>
                <w:sz w:val="20"/>
              </w:rPr>
            </w:pPr>
            <w:r>
              <w:rPr>
                <w:sz w:val="20"/>
              </w:rPr>
              <w:t>-1.758.582</w:t>
            </w:r>
          </w:p>
        </w:tc>
        <w:tc>
          <w:tcPr>
            <w:tcW w:w="303" w:type="pct"/>
            <w:tcBorders>
              <w:top w:val="single" w:color="auto" w:sz="4" w:space="0"/>
              <w:left w:val="nil"/>
              <w:bottom w:val="single" w:color="auto" w:sz="4" w:space="0"/>
              <w:right w:val="single" w:color="auto" w:sz="4" w:space="0"/>
            </w:tcBorders>
            <w:shd w:val="clear" w:color="auto" w:fill="auto"/>
          </w:tcPr>
          <w:p w:rsidRPr="00257DE4" w:rsidR="003F35D4" w:rsidP="00455CE1" w:rsidRDefault="003F35D4">
            <w:pPr>
              <w:keepNext/>
              <w:jc w:val="right"/>
              <w:rPr>
                <w:sz w:val="20"/>
              </w:rPr>
            </w:pPr>
            <w:r>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Endnu ikke indregnet over- eller underdækning</w:t>
            </w:r>
          </w:p>
        </w:tc>
        <w:tc>
          <w:tcPr>
            <w:tcW w:w="1118" w:type="pct"/>
            <w:tcBorders>
              <w:top w:val="single" w:color="auto" w:sz="4" w:space="0"/>
              <w:left w:val="single" w:color="auto" w:sz="4" w:space="0"/>
              <w:bottom w:val="single" w:color="auto" w:sz="4" w:space="0"/>
              <w:right w:val="nil"/>
            </w:tcBorders>
            <w:shd w:val="clear" w:color="auto" w:fill="auto"/>
          </w:tcPr>
          <w:p w:rsidRPr="0034528A" w:rsidR="00A61766" w:rsidP="003F35D4" w:rsidRDefault="0004183D">
            <w:pPr>
              <w:jc w:val="right"/>
              <w:rPr>
                <w:b/>
                <w:sz w:val="20"/>
              </w:rPr>
            </w:pPr>
            <w:r w:rsidRPr="0034528A">
              <w:rPr>
                <w:b/>
                <w:color w:val="000000"/>
                <w:sz w:val="20"/>
              </w:rPr>
              <w:t>-</w:t>
            </w:r>
            <w:r w:rsidR="003F35D4">
              <w:rPr>
                <w:b/>
                <w:color w:val="000000"/>
                <w:sz w:val="20"/>
              </w:rPr>
              <w:t>3</w:t>
            </w:r>
            <w:r w:rsidRPr="0034528A">
              <w:rPr>
                <w:b/>
                <w:color w:val="000000"/>
                <w:sz w:val="20"/>
              </w:rPr>
              <w:t>.</w:t>
            </w:r>
            <w:r w:rsidR="003F35D4">
              <w:rPr>
                <w:b/>
                <w:color w:val="000000"/>
                <w:sz w:val="20"/>
              </w:rPr>
              <w:t>592</w:t>
            </w:r>
            <w:r w:rsidRPr="0034528A">
              <w:rPr>
                <w:b/>
                <w:color w:val="000000"/>
                <w:sz w:val="20"/>
              </w:rPr>
              <w:t>.</w:t>
            </w:r>
            <w:r w:rsidR="003F35D4">
              <w:rPr>
                <w:b/>
                <w:color w:val="000000"/>
                <w:sz w:val="20"/>
              </w:rPr>
              <w:t>684</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Resterende indregningsperiode (fastsat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5CE1" w:rsidRDefault="006D154F">
            <w:pPr>
              <w:jc w:val="right"/>
              <w:rPr>
                <w:sz w:val="20"/>
              </w:rPr>
            </w:pPr>
            <w:r>
              <w:rPr>
                <w:sz w:val="20"/>
              </w:rPr>
              <w:t>4</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center"/>
              <w:rPr>
                <w:bCs/>
                <w:sz w:val="20"/>
              </w:rPr>
            </w:pPr>
            <w:r w:rsidRPr="00257DE4">
              <w:rPr>
                <w:bCs/>
                <w:sz w:val="20"/>
              </w:rPr>
              <w:t>år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7502DB" w:rsidRDefault="00A61766">
            <w:pPr>
              <w:keepNext/>
              <w:rPr>
                <w:b/>
                <w:sz w:val="20"/>
              </w:rPr>
            </w:pPr>
            <w:r w:rsidRPr="00257DE4">
              <w:rPr>
                <w:b/>
                <w:sz w:val="20"/>
              </w:rPr>
              <w:t>Tillæg i prisloftet for 201</w:t>
            </w:r>
            <w:r>
              <w:rPr>
                <w:b/>
                <w:sz w:val="20"/>
              </w:rPr>
              <w:t>4</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730B8E" w:rsidRDefault="006D154F">
            <w:pPr>
              <w:jc w:val="right"/>
              <w:rPr>
                <w:b/>
                <w:sz w:val="20"/>
              </w:rPr>
            </w:pPr>
            <w:bookmarkStart w:name="OverUnder" w:id="23"/>
            <w:r>
              <w:rPr>
                <w:b/>
                <w:sz w:val="20"/>
              </w:rPr>
              <w:t>898.17</w:t>
            </w:r>
            <w:r w:rsidR="00730B8E">
              <w:rPr>
                <w:b/>
                <w:sz w:val="20"/>
              </w:rPr>
              <w:t>1</w:t>
            </w:r>
            <w:bookmarkEnd w:id="23"/>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bl>
    <w:p w:rsidR="00A61766" w:rsidP="00A61766" w:rsidRDefault="00A61766">
      <w:pPr>
        <w:jc w:val="both"/>
      </w:pPr>
    </w:p>
    <w:p w:rsidR="003F35D4" w:rsidP="003F35D4" w:rsidRDefault="003F35D4">
      <w:r>
        <w:t>På baggrund af denne opgørelse fastsættes derfor et tillæg i selskabets</w:t>
      </w:r>
    </w:p>
    <w:p w:rsidR="00244B2A" w:rsidP="003F35D4" w:rsidRDefault="006D154F">
      <w:r>
        <w:t>pr</w:t>
      </w:r>
      <w:r w:rsidR="00730B8E">
        <w:t>isloft for 2014 på i alt 898.171</w:t>
      </w:r>
      <w:r w:rsidR="003F35D4">
        <w:t xml:space="preserve"> kr.</w:t>
      </w:r>
    </w:p>
    <w:p w:rsidR="006B1426" w:rsidP="001F00F2" w:rsidRDefault="006B1426"/>
    <w:p w:rsidR="003C3606" w:rsidP="00B21D03" w:rsidRDefault="003C3606">
      <w:pPr>
        <w:jc w:val="both"/>
      </w:pPr>
      <w:r>
        <w:t>Selskabet har i sit høringssvar af 30. august 2013</w:t>
      </w:r>
      <w:r w:rsidR="00FC196D">
        <w:t xml:space="preserve"> </w:t>
      </w:r>
      <w:r>
        <w:t>noteret sig, at Fors</w:t>
      </w:r>
      <w:r>
        <w:t>y</w:t>
      </w:r>
      <w:r>
        <w:t xml:space="preserve">ningssekretariatet har indregnet det for meget betalte vejbidrag </w:t>
      </w:r>
      <w:r w:rsidR="00CC6801">
        <w:t xml:space="preserve">excl. </w:t>
      </w:r>
      <w:r w:rsidR="00FC196D">
        <w:t>m</w:t>
      </w:r>
      <w:r w:rsidR="00CC6801">
        <w:t xml:space="preserve">oms. Selskabet henviser til, at principperne </w:t>
      </w:r>
      <w:r>
        <w:t>for opgørelse af den hist</w:t>
      </w:r>
      <w:r>
        <w:t>o</w:t>
      </w:r>
      <w:r>
        <w:t>riske over- og underdækning er gennemgået i prisloftsafgørelsen for 2012 af 7. oktober</w:t>
      </w:r>
      <w:r w:rsidR="00CC6801">
        <w:t xml:space="preserve"> </w:t>
      </w:r>
      <w:r>
        <w:t>2011 side 15-18. Her fremgår det, at der kan medtages gældsposter, såfremt det kan dokumenteres at disse ikke vedrører inv</w:t>
      </w:r>
      <w:r>
        <w:t>e</w:t>
      </w:r>
      <w:r>
        <w:t>steringer. Det følger intet sted af gennemgangen at gældsposterne skal opgøres eksklusiv moms, ligesom den hidtidige praksis på området er</w:t>
      </w:r>
      <w:r w:rsidR="00B21D03">
        <w:t>,</w:t>
      </w:r>
      <w:r>
        <w:t xml:space="preserve"> at gældsposterne opgøres som det faktiske beløb til betaling uden hensyn til et eventuelt momsfradrag (altså pengegældsbeløbet). </w:t>
      </w:r>
    </w:p>
    <w:p w:rsidR="00CC6801" w:rsidP="003C3606" w:rsidRDefault="00CC6801"/>
    <w:p w:rsidR="003C3606" w:rsidP="00B21D03" w:rsidRDefault="00CC6801">
      <w:pPr>
        <w:jc w:val="both"/>
      </w:pPr>
      <w:r>
        <w:t>Glostrup Spildevand A/S beder derfor F</w:t>
      </w:r>
      <w:r w:rsidR="003C3606">
        <w:t>orsyningssekretariatet om at r</w:t>
      </w:r>
      <w:r w:rsidR="003C3606">
        <w:t>e</w:t>
      </w:r>
      <w:r w:rsidR="003C3606">
        <w:t>degøre for</w:t>
      </w:r>
      <w:r w:rsidR="00B21D03">
        <w:t>,</w:t>
      </w:r>
      <w:r w:rsidR="003C3606">
        <w:t xml:space="preserve"> hvorfor principperne for opgørelsen er ændret, således </w:t>
      </w:r>
      <w:r>
        <w:t>at o</w:t>
      </w:r>
      <w:r>
        <w:t>p</w:t>
      </w:r>
      <w:r>
        <w:t xml:space="preserve">gørelsen nu sker excl. moms. </w:t>
      </w:r>
    </w:p>
    <w:p w:rsidR="00CC6801" w:rsidP="00B21D03" w:rsidRDefault="00CC6801">
      <w:pPr>
        <w:jc w:val="both"/>
      </w:pPr>
    </w:p>
    <w:p w:rsidR="00CC6801" w:rsidP="00B21D03" w:rsidRDefault="00CC6801">
      <w:pPr>
        <w:jc w:val="both"/>
      </w:pPr>
      <w:r>
        <w:t>Forsyningssekretariatet skal hertil bemærke, at opgørelsen af vandse</w:t>
      </w:r>
      <w:r>
        <w:t>l</w:t>
      </w:r>
      <w:r>
        <w:t xml:space="preserve">skabernes over- eller underdækning baseres på </w:t>
      </w:r>
      <w:r w:rsidRPr="00CC6801">
        <w:t>tal fra balancen i selsk</w:t>
      </w:r>
      <w:r w:rsidRPr="00CC6801">
        <w:t>a</w:t>
      </w:r>
      <w:r w:rsidRPr="00CC6801">
        <w:t>bets årsr</w:t>
      </w:r>
      <w:r>
        <w:t xml:space="preserve">egnskaber </w:t>
      </w:r>
      <w:r w:rsidRPr="00CC6801">
        <w:t>for 2010</w:t>
      </w:r>
      <w:r w:rsidR="00F921B5">
        <w:t xml:space="preserve"> som s</w:t>
      </w:r>
      <w:r>
        <w:t>elskabets likvide beholdninger, værd</w:t>
      </w:r>
      <w:r>
        <w:t>i</w:t>
      </w:r>
      <w:r>
        <w:t>papirer, kapitalandele og selskabsinterne</w:t>
      </w:r>
      <w:r w:rsidR="00F921B5">
        <w:t xml:space="preserve"> </w:t>
      </w:r>
      <w:r>
        <w:t>tilgodehavender mv.</w:t>
      </w:r>
      <w:r w:rsidR="00B21D03">
        <w:t xml:space="preserve"> </w:t>
      </w:r>
      <w:r w:rsidR="00F921B5">
        <w:t>f</w:t>
      </w:r>
      <w:r>
        <w:t>ratrukket konkrete kortfristede gældsposter, som alene vedrører</w:t>
      </w:r>
      <w:r w:rsidR="00F921B5">
        <w:t xml:space="preserve"> </w:t>
      </w:r>
      <w:r>
        <w:t>drifte</w:t>
      </w:r>
      <w:r w:rsidR="00F921B5">
        <w:t>n af selsk</w:t>
      </w:r>
      <w:r w:rsidR="00F921B5">
        <w:t>a</w:t>
      </w:r>
      <w:r w:rsidR="00F921B5">
        <w:t>bet</w:t>
      </w:r>
      <w:r>
        <w:t>.</w:t>
      </w:r>
    </w:p>
    <w:p w:rsidR="00F921B5" w:rsidP="00B21D03" w:rsidRDefault="00F921B5">
      <w:pPr>
        <w:jc w:val="both"/>
      </w:pPr>
    </w:p>
    <w:p w:rsidR="00FC196D" w:rsidP="00B21D03" w:rsidRDefault="00F921B5">
      <w:pPr>
        <w:jc w:val="both"/>
      </w:pPr>
      <w:r>
        <w:t>Det er Forsyningssekretariatets opfattelse, at resultatopgørelse og bala</w:t>
      </w:r>
      <w:r>
        <w:t>n</w:t>
      </w:r>
      <w:r>
        <w:t xml:space="preserve">cer i årsregnskaber angives excl. moms. </w:t>
      </w:r>
      <w:r w:rsidR="00E71894">
        <w:t>Det er derfor sekretariatets o</w:t>
      </w:r>
      <w:r w:rsidR="00E71894">
        <w:t>p</w:t>
      </w:r>
      <w:r w:rsidR="00E71894">
        <w:t>fattelse, at en eventuel over- eller underdækning som udgangspunkt he</w:t>
      </w:r>
      <w:r w:rsidR="00E71894">
        <w:t>l</w:t>
      </w:r>
      <w:r w:rsidR="00E71894">
        <w:t>ler ikke indeholder momsbetalinger</w:t>
      </w:r>
      <w:r w:rsidR="00FC196D">
        <w:t xml:space="preserve">. </w:t>
      </w:r>
    </w:p>
    <w:p w:rsidR="00FC196D" w:rsidP="00B21D03" w:rsidRDefault="00FC196D">
      <w:pPr>
        <w:jc w:val="both"/>
      </w:pPr>
    </w:p>
    <w:p w:rsidR="00F921B5" w:rsidP="00B21D03" w:rsidRDefault="00FC196D">
      <w:pPr>
        <w:jc w:val="both"/>
      </w:pPr>
      <w:r>
        <w:t xml:space="preserve">Der kan </w:t>
      </w:r>
      <w:r w:rsidR="00261551">
        <w:t xml:space="preserve">dog </w:t>
      </w:r>
      <w:r>
        <w:t xml:space="preserve">være </w:t>
      </w:r>
      <w:r w:rsidR="00261551">
        <w:t>tale om</w:t>
      </w:r>
      <w:r w:rsidR="00E71894">
        <w:t xml:space="preserve"> </w:t>
      </w:r>
      <w:r w:rsidR="00FF67C7">
        <w:t>nettobeløb fra selskabets momsregnskab</w:t>
      </w:r>
      <w:r w:rsidR="00261551">
        <w:t xml:space="preserve"> (ti</w:t>
      </w:r>
      <w:r w:rsidR="00261551">
        <w:t>l</w:t>
      </w:r>
      <w:r w:rsidR="00261551">
        <w:t xml:space="preserve">godehavende eller skyldig moms, der er opstået som følge af forskelle </w:t>
      </w:r>
      <w:r w:rsidR="00261551">
        <w:lastRenderedPageBreak/>
        <w:t>mellem salgsmoms og købsmoms)</w:t>
      </w:r>
      <w:r w:rsidR="00FF67C7">
        <w:t>.</w:t>
      </w:r>
      <w:r>
        <w:t xml:space="preserve"> </w:t>
      </w:r>
      <w:r w:rsidR="00261551">
        <w:t>Men i</w:t>
      </w:r>
      <w:r>
        <w:t xml:space="preserve"> den situation </w:t>
      </w:r>
      <w:r w:rsidR="00261551">
        <w:t>har det haft en påvirkning på de likvide beholdninger, der også indgår i opgørelsen af over- eller underdækning. Det er ikke tilfældet i denne sag, idet tilbag</w:t>
      </w:r>
      <w:r w:rsidR="00261551">
        <w:t>e</w:t>
      </w:r>
      <w:r w:rsidR="00261551">
        <w:t>betalingen først er sket senere.</w:t>
      </w:r>
    </w:p>
    <w:p w:rsidR="00FF67C7" w:rsidP="00B21D03" w:rsidRDefault="00FF67C7">
      <w:pPr>
        <w:jc w:val="both"/>
      </w:pPr>
    </w:p>
    <w:p w:rsidR="00CC6801" w:rsidP="00B21D03" w:rsidRDefault="00FF67C7">
      <w:pPr>
        <w:jc w:val="both"/>
      </w:pPr>
      <w:r>
        <w:t xml:space="preserve">Dertil kommer, at selve prisloftet </w:t>
      </w:r>
      <w:r w:rsidRPr="00FF67C7">
        <w:t>er opgjort eks</w:t>
      </w:r>
      <w:r>
        <w:t xml:space="preserve">klusive moms, jf. side 1 i denne afgørelse. Derfor skal de beløb, der indgår i prisloftet, heller ikke indeholde moms. Da selskabet kan opkræve prisloftet tillagt moms hos sine kunder, ville selskabet i modsat fald kunne opkræve moms af moms. </w:t>
      </w:r>
    </w:p>
    <w:p w:rsidR="00FF67C7" w:rsidP="00B21D03" w:rsidRDefault="00FF67C7">
      <w:pPr>
        <w:jc w:val="both"/>
      </w:pPr>
    </w:p>
    <w:p w:rsidR="00FF67C7" w:rsidP="00B21D03" w:rsidRDefault="00FF67C7">
      <w:pPr>
        <w:jc w:val="both"/>
      </w:pPr>
      <w:r>
        <w:t xml:space="preserve">Forsyningssekretariatet må derfor fastholde, at </w:t>
      </w:r>
      <w:r w:rsidR="00FC196D">
        <w:t>korrektionen af selskabets underdækning for det for meget betalte vejbidrag må skulle opgøres ek</w:t>
      </w:r>
      <w:r w:rsidR="00FC196D">
        <w:t>s</w:t>
      </w:r>
      <w:r w:rsidR="00FC196D">
        <w:t xml:space="preserve">klusive moms. </w:t>
      </w:r>
    </w:p>
    <w:p w:rsidR="00CC6801" w:rsidP="003C3606" w:rsidRDefault="00CC6801"/>
    <w:p w:rsidR="003E42C2" w:rsidP="003C3606" w:rsidRDefault="003E42C2"/>
    <w:p w:rsidRPr="003D1ED6" w:rsidR="0066772C" w:rsidP="0066772C" w:rsidRDefault="0066772C">
      <w:pPr>
        <w:rPr>
          <w:b/>
          <w:sz w:val="28"/>
          <w:szCs w:val="28"/>
        </w:rPr>
      </w:pPr>
      <w:r w:rsidRPr="003D1ED6">
        <w:rPr>
          <w:b/>
          <w:sz w:val="28"/>
          <w:szCs w:val="28"/>
        </w:rPr>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B21D03" w:rsidP="0066772C" w:rsidRDefault="00B21D03">
      <w:pPr>
        <w:autoSpaceDE w:val="0"/>
        <w:autoSpaceDN w:val="0"/>
        <w:adjustRightInd w:val="0"/>
        <w:spacing w:line="240" w:lineRule="auto"/>
        <w:jc w:val="both"/>
        <w:rPr>
          <w:color w:val="000000"/>
          <w:szCs w:val="24"/>
        </w:rPr>
      </w:pP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r w:rsidRPr="003C5C9D">
        <w:t>udlejning af antenneplads på vandtårne eller lignende.</w:t>
      </w:r>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772C" w:rsidP="0066772C" w:rsidRDefault="0066772C">
      <w:pPr>
        <w:jc w:val="both"/>
        <w:rPr>
          <w:color w:val="000000"/>
          <w:szCs w:val="24"/>
        </w:rPr>
      </w:pPr>
    </w:p>
    <w:p w:rsidR="0066772C" w:rsidP="0066772C" w:rsidRDefault="0066772C">
      <w:pPr>
        <w:jc w:val="both"/>
      </w:pPr>
      <w:r w:rsidRPr="00AC299A">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p w:rsidRPr="00AC299A" w:rsidR="0066772C" w:rsidP="0066772C" w:rsidRDefault="0066772C">
      <w:pPr>
        <w:jc w:val="both"/>
      </w:pPr>
    </w:p>
    <w:tbl>
      <w:tblPr>
        <w:tblW w:w="584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60"/>
        <w:gridCol w:w="1131"/>
        <w:gridCol w:w="427"/>
        <w:gridCol w:w="1262"/>
        <w:gridCol w:w="425"/>
      </w:tblGrid>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B21D03">
            <w:pPr>
              <w:keepNext/>
              <w:rPr>
                <w:b/>
                <w:sz w:val="22"/>
                <w:szCs w:val="22"/>
              </w:rPr>
            </w:pPr>
            <w:r>
              <w:br w:type="page"/>
            </w:r>
            <w:r w:rsidRPr="00257DE4" w:rsidR="0066772C">
              <w:rPr>
                <w:b/>
                <w:sz w:val="22"/>
                <w:szCs w:val="22"/>
              </w:rPr>
              <w:t>Indtægtsramme 201</w:t>
            </w:r>
            <w:r w:rsidR="0066772C">
              <w:rPr>
                <w:b/>
                <w:sz w:val="22"/>
                <w:szCs w:val="22"/>
              </w:rPr>
              <w:t>2</w:t>
            </w:r>
          </w:p>
        </w:tc>
        <w:tc>
          <w:tcPr>
            <w:tcW w:w="66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81072">
        <w:tc>
          <w:tcPr>
            <w:tcW w:w="4008" w:type="pct"/>
            <w:gridSpan w:val="3"/>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0A62EE">
            <w:pPr>
              <w:keepNext/>
              <w:jc w:val="right"/>
              <w:rPr>
                <w:sz w:val="20"/>
              </w:rPr>
            </w:pPr>
            <w:r w:rsidRPr="000A62EE">
              <w:rPr>
                <w:sz w:val="20"/>
              </w:rPr>
              <w:t>31.229.183</w:t>
            </w:r>
          </w:p>
        </w:tc>
        <w:tc>
          <w:tcPr>
            <w:tcW w:w="25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81072">
        <w:tc>
          <w:tcPr>
            <w:tcW w:w="5000" w:type="pct"/>
            <w:gridSpan w:val="5"/>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0A62EE">
            <w:pPr>
              <w:keepNext/>
              <w:jc w:val="right"/>
              <w:rPr>
                <w:sz w:val="20"/>
              </w:rPr>
            </w:pPr>
            <w:r w:rsidRPr="000A62EE">
              <w:rPr>
                <w:sz w:val="20"/>
              </w:rPr>
              <w:t>9.384.662</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0A62EE">
            <w:pPr>
              <w:keepNext/>
              <w:jc w:val="right"/>
              <w:rPr>
                <w:sz w:val="20"/>
              </w:rPr>
            </w:pPr>
            <w:r w:rsidRPr="000A62EE">
              <w:rPr>
                <w:sz w:val="20"/>
              </w:rPr>
              <w:t>59.544</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0A62EE">
            <w:pPr>
              <w:keepNext/>
              <w:jc w:val="right"/>
              <w:rPr>
                <w:sz w:val="20"/>
              </w:rPr>
            </w:pPr>
            <w:r w:rsidRPr="000A62EE">
              <w:rPr>
                <w:sz w:val="20"/>
              </w:rPr>
              <w:t>-55.206</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0A62EE">
            <w:pPr>
              <w:keepNext/>
              <w:jc w:val="right"/>
              <w:rPr>
                <w:sz w:val="20"/>
              </w:rPr>
            </w:pPr>
            <w:r w:rsidRPr="000A62EE">
              <w:rPr>
                <w:sz w:val="20"/>
              </w:rPr>
              <w:t>136.420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F844E0" w:rsidRDefault="00F844E0">
            <w:pPr>
              <w:keepNext/>
              <w:jc w:val="right"/>
              <w:rPr>
                <w:sz w:val="20"/>
              </w:rPr>
            </w:pPr>
            <w:r>
              <w:rPr>
                <w:sz w:val="20"/>
              </w:rPr>
              <w:t>982.330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881072">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665" w:type="pct"/>
            <w:tcBorders>
              <w:top w:val="single" w:color="auto" w:sz="4" w:space="0"/>
              <w:left w:val="single" w:color="auto" w:sz="4" w:space="0"/>
              <w:bottom w:val="single" w:color="auto" w:sz="4" w:space="0"/>
              <w:right w:val="nil"/>
            </w:tcBorders>
            <w:shd w:val="clear" w:color="auto" w:fill="auto"/>
          </w:tcPr>
          <w:p w:rsidRPr="00257DE4" w:rsidR="0066772C" w:rsidP="00455CE1" w:rsidRDefault="00881072">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investeringer</w:t>
            </w:r>
          </w:p>
        </w:tc>
        <w:tc>
          <w:tcPr>
            <w:tcW w:w="665" w:type="pct"/>
            <w:tcBorders>
              <w:top w:val="single" w:color="auto" w:sz="4" w:space="0"/>
              <w:left w:val="single" w:color="auto" w:sz="4" w:space="0"/>
              <w:bottom w:val="single" w:color="auto" w:sz="4" w:space="0"/>
              <w:right w:val="nil"/>
            </w:tcBorders>
            <w:shd w:val="clear" w:color="auto" w:fill="auto"/>
          </w:tcPr>
          <w:p w:rsidRPr="0093018B" w:rsidR="0066772C" w:rsidP="00455CE1" w:rsidRDefault="00881072">
            <w:pPr>
              <w:keepNext/>
              <w:jc w:val="right"/>
              <w:rPr>
                <w:sz w:val="20"/>
              </w:rPr>
            </w:pPr>
            <w:r>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665" w:type="pct"/>
            <w:tcBorders>
              <w:top w:val="single" w:color="auto" w:sz="4" w:space="0"/>
              <w:left w:val="single" w:color="auto" w:sz="4" w:space="0"/>
              <w:bottom w:val="single" w:color="auto" w:sz="4" w:space="0"/>
              <w:right w:val="nil"/>
            </w:tcBorders>
            <w:shd w:val="clear" w:color="auto" w:fill="auto"/>
          </w:tcPr>
          <w:p w:rsidRPr="0093018B" w:rsidR="0066772C" w:rsidP="00455CE1" w:rsidRDefault="00F844E0">
            <w:pPr>
              <w:keepNext/>
              <w:jc w:val="right"/>
              <w:rPr>
                <w:sz w:val="20"/>
              </w:rPr>
            </w:pPr>
            <w:r w:rsidRPr="0093018B">
              <w:rPr>
                <w:sz w:val="20"/>
              </w:rPr>
              <w:t>-5.245.232</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665" w:type="pct"/>
            <w:tcBorders>
              <w:top w:val="single" w:color="auto" w:sz="4" w:space="0"/>
              <w:left w:val="single" w:color="auto" w:sz="4" w:space="0"/>
              <w:bottom w:val="single" w:color="auto" w:sz="4" w:space="0"/>
              <w:right w:val="nil"/>
            </w:tcBorders>
            <w:shd w:val="pct12" w:color="auto" w:fill="auto"/>
          </w:tcPr>
          <w:p w:rsidRPr="0093018B" w:rsidR="0066772C" w:rsidP="00455CE1" w:rsidRDefault="00F844E0">
            <w:pPr>
              <w:keepNext/>
              <w:jc w:val="right"/>
              <w:rPr>
                <w:sz w:val="20"/>
              </w:rPr>
            </w:pPr>
            <w:r w:rsidRPr="0093018B">
              <w:rPr>
                <w:sz w:val="20"/>
              </w:rPr>
              <w:t>5.262.518</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F844E0">
              <w:rPr>
                <w:sz w:val="20"/>
              </w:rPr>
              <w:t>5.262.518</w:t>
            </w:r>
          </w:p>
        </w:tc>
        <w:tc>
          <w:tcPr>
            <w:tcW w:w="25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665" w:type="pct"/>
            <w:tcBorders>
              <w:top w:val="single" w:color="auto" w:sz="4" w:space="0"/>
              <w:left w:val="single" w:color="auto" w:sz="4" w:space="0"/>
              <w:bottom w:val="single" w:color="auto" w:sz="4" w:space="0"/>
              <w:right w:val="single" w:color="auto" w:sz="4" w:space="0"/>
            </w:tcBorders>
            <w:shd w:val="solid" w:color="auto" w:fill="auto"/>
          </w:tcPr>
          <w:p w:rsidRPr="0093018B"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takstnedsæ</w:t>
            </w:r>
            <w:r>
              <w:rPr>
                <w:sz w:val="20"/>
              </w:rPr>
              <w:t>t</w:t>
            </w:r>
            <w:r>
              <w:rPr>
                <w:sz w:val="20"/>
              </w:rPr>
              <w:t>telse</w:t>
            </w:r>
          </w:p>
        </w:tc>
        <w:tc>
          <w:tcPr>
            <w:tcW w:w="665" w:type="pct"/>
            <w:tcBorders>
              <w:top w:val="single" w:color="auto" w:sz="4" w:space="0"/>
              <w:left w:val="single" w:color="auto" w:sz="4" w:space="0"/>
              <w:bottom w:val="single" w:color="auto" w:sz="4" w:space="0"/>
              <w:right w:val="nil"/>
            </w:tcBorders>
            <w:shd w:val="pct12" w:color="auto" w:fill="auto"/>
          </w:tcPr>
          <w:p w:rsidRPr="0093018B" w:rsidR="0066772C" w:rsidP="00455CE1" w:rsidRDefault="00F844E0">
            <w:pPr>
              <w:keepNext/>
              <w:jc w:val="right"/>
              <w:rPr>
                <w:sz w:val="20"/>
              </w:rPr>
            </w:pPr>
            <w:r w:rsidRPr="0093018B">
              <w:rPr>
                <w:sz w:val="20"/>
              </w:rPr>
              <w:t>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F844E0">
              <w:rPr>
                <w:sz w:val="20"/>
              </w:rPr>
              <w:t>0</w:t>
            </w:r>
          </w:p>
        </w:tc>
        <w:tc>
          <w:tcPr>
            <w:tcW w:w="25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665" w:type="pct"/>
            <w:tcBorders>
              <w:top w:val="single" w:color="auto" w:sz="4" w:space="0"/>
              <w:left w:val="single" w:color="auto" w:sz="4" w:space="0"/>
              <w:bottom w:val="single" w:color="auto" w:sz="4" w:space="0"/>
              <w:right w:val="single" w:color="auto" w:sz="4" w:space="0"/>
            </w:tcBorders>
            <w:shd w:val="solid" w:color="auto" w:fill="auto"/>
          </w:tcPr>
          <w:p w:rsidRPr="0093018B"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w:t>
            </w:r>
            <w:r w:rsidRPr="00257DE4">
              <w:rPr>
                <w:sz w:val="20"/>
              </w:rPr>
              <w:t>å</w:t>
            </w:r>
            <w:r w:rsidRPr="00257DE4">
              <w:rPr>
                <w:sz w:val="20"/>
              </w:rPr>
              <w:t>lergebyrer samt andre takster og gebyrer</w:t>
            </w:r>
          </w:p>
        </w:tc>
        <w:tc>
          <w:tcPr>
            <w:tcW w:w="665" w:type="pct"/>
            <w:tcBorders>
              <w:top w:val="single" w:color="auto" w:sz="4" w:space="0"/>
              <w:left w:val="single" w:color="auto" w:sz="4" w:space="0"/>
              <w:bottom w:val="single" w:color="auto" w:sz="4" w:space="0"/>
              <w:right w:val="nil"/>
            </w:tcBorders>
            <w:shd w:val="clear" w:color="auto" w:fill="auto"/>
          </w:tcPr>
          <w:p w:rsidRPr="0093018B" w:rsidR="0066772C" w:rsidP="0093018B" w:rsidRDefault="0093018B">
            <w:pPr>
              <w:keepNext/>
              <w:jc w:val="center"/>
              <w:rPr>
                <w:sz w:val="20"/>
              </w:rPr>
            </w:pPr>
            <w:r w:rsidRPr="0093018B">
              <w:rPr>
                <w:sz w:val="20"/>
              </w:rPr>
              <w:t>25.626.610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w:t>
            </w:r>
            <w:r w:rsidRPr="00257DE4">
              <w:rPr>
                <w:sz w:val="20"/>
              </w:rPr>
              <w:t>r</w:t>
            </w:r>
            <w:r w:rsidRPr="00257DE4">
              <w:rPr>
                <w:sz w:val="20"/>
              </w:rPr>
              <w:t>bindelse med eller som følge af selskabets primære aktiviteter</w:t>
            </w:r>
          </w:p>
        </w:tc>
        <w:tc>
          <w:tcPr>
            <w:tcW w:w="665" w:type="pct"/>
            <w:tcBorders>
              <w:top w:val="single" w:color="auto" w:sz="4" w:space="0"/>
              <w:left w:val="single" w:color="auto" w:sz="4" w:space="0"/>
              <w:bottom w:val="single" w:color="auto" w:sz="4" w:space="0"/>
              <w:right w:val="nil"/>
            </w:tcBorders>
            <w:shd w:val="clear" w:color="auto" w:fill="auto"/>
          </w:tcPr>
          <w:p w:rsidRPr="00881072" w:rsidR="0066772C" w:rsidP="00455CE1" w:rsidRDefault="00881072">
            <w:pPr>
              <w:keepNext/>
              <w:jc w:val="right"/>
              <w:rPr>
                <w:sz w:val="20"/>
              </w:rPr>
            </w:pPr>
            <w:r w:rsidRPr="00881072">
              <w:rPr>
                <w:sz w:val="20"/>
              </w:rPr>
              <w:t>0</w:t>
            </w:r>
          </w:p>
        </w:tc>
        <w:tc>
          <w:tcPr>
            <w:tcW w:w="251" w:type="pct"/>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92"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881072">
        <w:tc>
          <w:tcPr>
            <w:tcW w:w="3092"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665" w:type="pct"/>
            <w:tcBorders>
              <w:top w:val="single" w:color="auto" w:sz="4" w:space="0"/>
              <w:left w:val="single" w:color="auto" w:sz="4" w:space="0"/>
              <w:bottom w:val="single" w:color="auto" w:sz="4" w:space="0"/>
              <w:right w:val="nil"/>
            </w:tcBorders>
            <w:shd w:val="pct12" w:color="auto" w:fill="auto"/>
          </w:tcPr>
          <w:p w:rsidRPr="00257DE4" w:rsidR="0066772C" w:rsidP="00455CE1" w:rsidRDefault="0093018B">
            <w:pPr>
              <w:keepNext/>
              <w:jc w:val="right"/>
              <w:rPr>
                <w:sz w:val="20"/>
              </w:rPr>
            </w:pPr>
            <w:r>
              <w:rPr>
                <w:sz w:val="20"/>
              </w:rPr>
              <w:t>25.626.610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42"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93018B">
              <w:rPr>
                <w:sz w:val="20"/>
              </w:rPr>
              <w:t>25.626.610</w:t>
            </w:r>
          </w:p>
        </w:tc>
        <w:tc>
          <w:tcPr>
            <w:tcW w:w="25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881072">
        <w:tc>
          <w:tcPr>
            <w:tcW w:w="5000" w:type="pct"/>
            <w:gridSpan w:val="5"/>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Samlet opgørelse vedrørende overholdelse af prisloftet for 201</w:t>
            </w:r>
            <w:r>
              <w:rPr>
                <w:b/>
                <w:sz w:val="22"/>
              </w:rPr>
              <w:t>2</w:t>
            </w:r>
          </w:p>
        </w:tc>
      </w:tr>
      <w:tr w:rsidRPr="00257DE4" w:rsidR="0066772C" w:rsidTr="00881072">
        <w:tc>
          <w:tcPr>
            <w:tcW w:w="4008" w:type="pct"/>
            <w:gridSpan w:val="3"/>
            <w:tcBorders>
              <w:top w:val="single" w:color="auto" w:sz="4" w:space="0"/>
              <w:left w:val="single" w:color="auto" w:sz="4" w:space="0"/>
              <w:bottom w:val="single" w:color="auto" w:sz="4" w:space="0"/>
              <w:right w:val="single" w:color="auto" w:sz="4" w:space="0"/>
            </w:tcBorders>
            <w:shd w:val="pct12" w:color="auto" w:fill="auto"/>
          </w:tcPr>
          <w:p w:rsidRPr="00A46927" w:rsidR="0066772C" w:rsidP="00455CE1" w:rsidRDefault="0066772C">
            <w:pPr>
              <w:keepNext/>
              <w:rPr>
                <w:sz w:val="18"/>
                <w:szCs w:val="18"/>
              </w:rPr>
            </w:pPr>
            <w:r w:rsidRPr="00A46927">
              <w:rPr>
                <w:sz w:val="20"/>
              </w:rPr>
              <w:t xml:space="preserve">Beløb til </w:t>
            </w:r>
            <w:r w:rsidRPr="00A46927" w:rsidR="006B1426">
              <w:rPr>
                <w:sz w:val="20"/>
              </w:rPr>
              <w:t>indregning i prisloftet for 2014</w:t>
            </w:r>
            <w:r w:rsidRPr="00A46927">
              <w:rPr>
                <w:sz w:val="20"/>
              </w:rPr>
              <w:t xml:space="preserve"> i alt</w:t>
            </w:r>
          </w:p>
        </w:tc>
        <w:tc>
          <w:tcPr>
            <w:tcW w:w="742" w:type="pct"/>
            <w:tcBorders>
              <w:top w:val="single" w:color="auto" w:sz="4" w:space="0"/>
              <w:left w:val="nil"/>
              <w:bottom w:val="single" w:color="auto" w:sz="4" w:space="0"/>
              <w:right w:val="single" w:color="auto" w:sz="4" w:space="0"/>
            </w:tcBorders>
            <w:shd w:val="pct12" w:color="auto" w:fill="auto"/>
          </w:tcPr>
          <w:p w:rsidRPr="00A46927" w:rsidR="0066772C" w:rsidP="0093018B" w:rsidRDefault="0093018B">
            <w:pPr>
              <w:keepNext/>
              <w:jc w:val="right"/>
              <w:rPr>
                <w:sz w:val="20"/>
              </w:rPr>
            </w:pPr>
            <w:bookmarkStart w:name="KorrIndt" w:id="24"/>
            <w:r>
              <w:rPr>
                <w:sz w:val="20"/>
              </w:rPr>
              <w:t>340.055</w:t>
            </w:r>
            <w:bookmarkEnd w:id="24"/>
          </w:p>
        </w:tc>
        <w:tc>
          <w:tcPr>
            <w:tcW w:w="25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A46927">
              <w:rPr>
                <w:sz w:val="18"/>
                <w:szCs w:val="18"/>
              </w:rPr>
              <w:t>kr.</w:t>
            </w:r>
          </w:p>
        </w:tc>
      </w:tr>
    </w:tbl>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pPr>
      <w:r w:rsidRPr="00917F99">
        <w:t xml:space="preserve">På baggrund af </w:t>
      </w:r>
      <w:r>
        <w:t xml:space="preserve">denne opgørelse </w:t>
      </w:r>
      <w:r w:rsidRPr="00A46927">
        <w:t>fastsættes et tillæg</w:t>
      </w:r>
      <w:r w:rsidR="00A46927">
        <w:t xml:space="preserve"> </w:t>
      </w:r>
      <w:r w:rsidRPr="00917F99">
        <w:t>i selskabets prisloft for 201</w:t>
      </w:r>
      <w:r>
        <w:t>4</w:t>
      </w:r>
      <w:r w:rsidRPr="00917F99">
        <w:t xml:space="preserve"> på i alt </w:t>
      </w:r>
      <w:r w:rsidR="0093018B">
        <w:t>340.055</w:t>
      </w:r>
      <w:r w:rsidRPr="00917F99">
        <w:t xml:space="preserve"> kr.</w:t>
      </w:r>
    </w:p>
    <w:p w:rsidR="0066772C" w:rsidP="0066772C" w:rsidRDefault="0011645C">
      <w:pPr>
        <w:jc w:val="both"/>
      </w:pPr>
      <w:r>
        <w:lastRenderedPageBreak/>
        <w:t>Selskabets tillæg til</w:t>
      </w:r>
      <w:r w:rsidRPr="00B82DF3" w:rsidR="0066772C">
        <w:t xml:space="preserve"> prisloftet </w:t>
      </w:r>
      <w:r>
        <w:t xml:space="preserve">for </w:t>
      </w:r>
      <w:r w:rsidRPr="00B82DF3" w:rsidR="0066772C">
        <w:t>201</w:t>
      </w:r>
      <w:r w:rsidR="0066772C">
        <w:t>4</w:t>
      </w:r>
      <w:r w:rsidRPr="00B82DF3" w:rsidR="0066772C">
        <w:t xml:space="preserve"> skyldes, at selskabet har haft lav</w:t>
      </w:r>
      <w:r w:rsidRPr="00B82DF3" w:rsidR="0066772C">
        <w:t>e</w:t>
      </w:r>
      <w:r w:rsidRPr="00B82DF3" w:rsidR="0066772C">
        <w:t>re indtægter fra de pri</w:t>
      </w:r>
      <w:r w:rsidR="0066772C">
        <w:t>mære aktiviteter mv. end fastsat</w:t>
      </w:r>
      <w:r w:rsidRPr="00B82DF3" w:rsidR="0066772C">
        <w:t xml:space="preserve"> i prisloftet for 2011.</w:t>
      </w:r>
      <w:r w:rsidR="0066772C">
        <w:t xml:space="preserve"> </w:t>
      </w:r>
    </w:p>
    <w:p w:rsidR="001513AC" w:rsidP="0066772C" w:rsidRDefault="001513AC">
      <w:pPr>
        <w:jc w:val="both"/>
      </w:pPr>
    </w:p>
    <w:p w:rsidR="001513AC" w:rsidP="0066772C" w:rsidRDefault="001513AC">
      <w:pPr>
        <w:jc w:val="both"/>
      </w:pPr>
      <w:r>
        <w:t>Selskabet har oplyst, at der er opnået en ekstraordinær effektivisering</w:t>
      </w:r>
      <w:r>
        <w:t>s</w:t>
      </w:r>
      <w:r>
        <w:t xml:space="preserve">gevinst på 944.894 kr. Gevinsten er ikke anvendt i 2012 og overføres derfor til anvendelse i efterfølgende år. </w:t>
      </w:r>
    </w:p>
    <w:p w:rsidR="0066772C" w:rsidP="0066772C" w:rsidRDefault="0066772C"/>
    <w:p w:rsidR="003E42C2" w:rsidP="0066772C" w:rsidRDefault="003E42C2"/>
    <w:p w:rsidRPr="007B2AB6" w:rsidR="0066772C" w:rsidP="0066772C" w:rsidRDefault="0066772C">
      <w:pPr>
        <w:rPr>
          <w:b/>
          <w:sz w:val="28"/>
          <w:szCs w:val="28"/>
        </w:rPr>
      </w:pPr>
      <w:r w:rsidRPr="00453116">
        <w:rPr>
          <w:b/>
          <w:sz w:val="28"/>
          <w:szCs w:val="28"/>
        </w:rPr>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5"/>
      <w:r w:rsidRPr="0004183D" w:rsidR="001A2A95">
        <w:t>1.229.169</w:t>
      </w:r>
      <w:bookmarkEnd w:id="25"/>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Pr="00E73059" w:rsidR="00B21D03" w:rsidP="00B21D03" w:rsidRDefault="00B21D03">
      <w:pPr>
        <w:jc w:val="both"/>
      </w:pPr>
      <w:r w:rsidRPr="00E73059">
        <w:t>Med venlig hilsen</w:t>
      </w:r>
    </w:p>
    <w:p w:rsidRPr="00E73059" w:rsidR="00B21D03" w:rsidP="00B21D03" w:rsidRDefault="00B21D03">
      <w:pPr>
        <w:jc w:val="both"/>
      </w:pPr>
    </w:p>
    <w:p w:rsidRPr="00E73059" w:rsidR="00B21D03" w:rsidP="00B21D03" w:rsidRDefault="00B21D03">
      <w:pPr>
        <w:jc w:val="both"/>
      </w:pPr>
      <w:r w:rsidRPr="00E73059">
        <w:t xml:space="preserve">Forsyningssekretariatet                                                                                             </w:t>
      </w:r>
    </w:p>
    <w:p w:rsidRPr="00E73059" w:rsidR="00B21D03" w:rsidP="00B21D03" w:rsidRDefault="00B21D03">
      <w:pPr>
        <w:jc w:val="both"/>
      </w:pPr>
      <w:r w:rsidRPr="00E73059">
        <w:rPr>
          <w:noProof/>
        </w:rPr>
        <w:drawing>
          <wp:anchor distT="0" distB="0" distL="114300" distR="114300" simplePos="0" relativeHeight="251659264" behindDoc="1" locked="0" layoutInCell="1" allowOverlap="0" wp14:editId="1C65911B" wp14:anchorId="7EF87320">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Pr="00E73059" w:rsidR="00B21D03" w:rsidP="00B21D03" w:rsidRDefault="00B21D03">
      <w:pPr>
        <w:jc w:val="both"/>
      </w:pPr>
    </w:p>
    <w:p w:rsidRPr="00E73059" w:rsidR="00B21D03" w:rsidP="00B21D03" w:rsidRDefault="00B21D03">
      <w:pPr>
        <w:jc w:val="both"/>
      </w:pPr>
    </w:p>
    <w:p w:rsidRPr="00E73059" w:rsidR="00B21D03" w:rsidP="00B21D03" w:rsidRDefault="00B21D03">
      <w:pPr>
        <w:jc w:val="both"/>
      </w:pPr>
    </w:p>
    <w:p w:rsidRPr="00E73059" w:rsidR="00B21D03" w:rsidP="00B21D03" w:rsidRDefault="00B21D03">
      <w:pPr>
        <w:jc w:val="both"/>
      </w:pPr>
    </w:p>
    <w:p w:rsidRPr="00E73059" w:rsidR="00B21D03" w:rsidP="00B21D03" w:rsidRDefault="00B21D03">
      <w:r w:rsidRPr="00E73059">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8C" w:rsidRDefault="0054458C">
      <w:r>
        <w:separator/>
      </w:r>
    </w:p>
  </w:endnote>
  <w:endnote w:type="continuationSeparator" w:id="0">
    <w:p w:rsidR="0054458C" w:rsidRDefault="0054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Default="0054458C">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Default="0054458C">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Default="0054458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8C" w:rsidRDefault="0054458C">
      <w:r>
        <w:separator/>
      </w:r>
    </w:p>
  </w:footnote>
  <w:footnote w:type="continuationSeparator" w:id="0">
    <w:p w:rsidR="0054458C" w:rsidRDefault="0054458C">
      <w:r>
        <w:continuationSeparator/>
      </w:r>
    </w:p>
  </w:footnote>
  <w:footnote w:id="1">
    <w:p w:rsidR="0054458C" w:rsidRPr="00CA587A" w:rsidRDefault="0054458C" w:rsidP="00CA587A">
      <w:pPr>
        <w:rPr>
          <w:sz w:val="20"/>
        </w:rPr>
      </w:pPr>
      <w:r w:rsidRPr="00CA587A">
        <w:rPr>
          <w:rStyle w:val="Fodnotehenvisning"/>
          <w:sz w:val="20"/>
        </w:rPr>
        <w:footnoteRef/>
      </w:r>
      <w:r w:rsidRPr="00CA587A">
        <w:rPr>
          <w:sz w:val="20"/>
        </w:rPr>
        <w:t xml:space="preserve"> Se </w:t>
      </w:r>
      <w:hyperlink r:id="rId1" w:history="1">
        <w:r w:rsidR="00CA587A" w:rsidRPr="00CA587A">
          <w:rPr>
            <w:rStyle w:val="Hyperlink"/>
            <w:sz w:val="20"/>
          </w:rPr>
          <w:t>http://www.kfst.dk/Vandtilsyn/Benchmarking/Benchmarking-2014</w:t>
        </w:r>
      </w:hyperlink>
    </w:p>
  </w:footnote>
  <w:footnote w:id="2">
    <w:p w:rsidR="004B52F1" w:rsidRDefault="004B52F1" w:rsidP="004B52F1">
      <w:pPr>
        <w:pStyle w:val="Fodnotetekst"/>
      </w:pPr>
      <w:r>
        <w:rPr>
          <w:rStyle w:val="Fodnotehenvisning"/>
        </w:rPr>
        <w:footnoteRef/>
      </w:r>
      <w:r>
        <w:t xml:space="preserve"> http://www.kfst.dk/Vandtilsyn/Benchmarking/Benchmarking-2014</w:t>
      </w:r>
    </w:p>
  </w:footnote>
  <w:footnote w:id="3">
    <w:p w:rsidR="004B52F1" w:rsidRDefault="004B52F1" w:rsidP="004B52F1">
      <w:pPr>
        <w:pStyle w:val="Fodnotetekst"/>
      </w:pPr>
      <w:r>
        <w:rPr>
          <w:rStyle w:val="Fodnotehenvisning"/>
        </w:rPr>
        <w:footnoteRef/>
      </w:r>
      <w:r>
        <w:t xml:space="preserve"> </w:t>
      </w:r>
      <w:hyperlink r:id="rId2" w:history="1">
        <w:r>
          <w:rPr>
            <w:rStyle w:val="Hyperlink"/>
            <w:rFonts w:eastAsiaTheme="majorEastAsia"/>
          </w:rPr>
          <w:t>http://www.kfst.dk/Vandtilsyn/Benchmarking/Benchmarking-2013/Resultatorienteret-benchmarking-2013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Default="0054458C">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Default="0054458C">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F976E3">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F976E3">
      <w:rPr>
        <w:rStyle w:val="Sidetal"/>
        <w:noProof/>
      </w:rPr>
      <w:t>33</w:t>
    </w:r>
    <w:r>
      <w:rPr>
        <w:rStyle w:val="Sidetal"/>
      </w:rPr>
      <w:fldChar w:fldCharType="end"/>
    </w:r>
  </w:p>
  <w:p w:rsidR="0054458C" w:rsidRDefault="0054458C">
    <w:pPr>
      <w:framePr w:w="1531" w:h="851" w:wrap="around" w:vAnchor="page" w:hAnchor="page" w:x="9186" w:y="721"/>
    </w:pPr>
  </w:p>
  <w:p w:rsidR="0054458C" w:rsidRDefault="0054458C">
    <w:pPr>
      <w:framePr w:w="1531" w:h="851" w:wrap="around" w:vAnchor="page" w:hAnchor="page" w:x="9186" w:y="721"/>
    </w:pPr>
  </w:p>
  <w:p w:rsidR="0054458C" w:rsidRDefault="0054458C">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8C" w:rsidRPr="00326491" w:rsidRDefault="0054458C">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A9D53EF"/>
    <w:multiLevelType w:val="hybridMultilevel"/>
    <w:tmpl w:val="CC0A4C5E"/>
    <w:lvl w:ilvl="0" w:tplc="65B09350">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8">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4">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5">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6">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4"/>
  </w:num>
  <w:num w:numId="7">
    <w:abstractNumId w:val="15"/>
  </w:num>
  <w:num w:numId="8">
    <w:abstractNumId w:val="18"/>
  </w:num>
  <w:num w:numId="9">
    <w:abstractNumId w:val="2"/>
  </w:num>
  <w:num w:numId="10">
    <w:abstractNumId w:val="16"/>
  </w:num>
  <w:num w:numId="11">
    <w:abstractNumId w:val="26"/>
  </w:num>
  <w:num w:numId="12">
    <w:abstractNumId w:val="7"/>
  </w:num>
  <w:num w:numId="13">
    <w:abstractNumId w:val="14"/>
  </w:num>
  <w:num w:numId="14">
    <w:abstractNumId w:val="0"/>
  </w:num>
  <w:num w:numId="15">
    <w:abstractNumId w:val="22"/>
  </w:num>
  <w:num w:numId="16">
    <w:abstractNumId w:val="5"/>
  </w:num>
  <w:num w:numId="17">
    <w:abstractNumId w:val="24"/>
  </w:num>
  <w:num w:numId="18">
    <w:abstractNumId w:val="25"/>
  </w:num>
  <w:num w:numId="19">
    <w:abstractNumId w:val="19"/>
  </w:num>
  <w:num w:numId="20">
    <w:abstractNumId w:val="20"/>
  </w:num>
  <w:num w:numId="21">
    <w:abstractNumId w:val="12"/>
  </w:num>
  <w:num w:numId="22">
    <w:abstractNumId w:val="10"/>
  </w:num>
  <w:num w:numId="23">
    <w:abstractNumId w:val="3"/>
  </w:num>
  <w:num w:numId="24">
    <w:abstractNumId w:val="1"/>
  </w:num>
  <w:num w:numId="25">
    <w:abstractNumId w:val="27"/>
  </w:num>
  <w:num w:numId="26">
    <w:abstractNumId w:val="9"/>
  </w:num>
  <w:num w:numId="27">
    <w:abstractNumId w:val="8"/>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3BD"/>
    <w:rsid w:val="00010804"/>
    <w:rsid w:val="00034123"/>
    <w:rsid w:val="00036208"/>
    <w:rsid w:val="00036CB3"/>
    <w:rsid w:val="0004183D"/>
    <w:rsid w:val="00050766"/>
    <w:rsid w:val="00052EB4"/>
    <w:rsid w:val="00073DD7"/>
    <w:rsid w:val="00086A8E"/>
    <w:rsid w:val="00093846"/>
    <w:rsid w:val="00095697"/>
    <w:rsid w:val="00096071"/>
    <w:rsid w:val="000A4868"/>
    <w:rsid w:val="000A62EE"/>
    <w:rsid w:val="000A680C"/>
    <w:rsid w:val="000B5974"/>
    <w:rsid w:val="000B60DD"/>
    <w:rsid w:val="000F4C53"/>
    <w:rsid w:val="00107F83"/>
    <w:rsid w:val="00111A3F"/>
    <w:rsid w:val="00112AB1"/>
    <w:rsid w:val="00113E51"/>
    <w:rsid w:val="0011645C"/>
    <w:rsid w:val="00122F97"/>
    <w:rsid w:val="0012674E"/>
    <w:rsid w:val="001337FF"/>
    <w:rsid w:val="001341AF"/>
    <w:rsid w:val="00135B56"/>
    <w:rsid w:val="00137229"/>
    <w:rsid w:val="00140A2F"/>
    <w:rsid w:val="0014125F"/>
    <w:rsid w:val="00141E5B"/>
    <w:rsid w:val="0014629C"/>
    <w:rsid w:val="001513AC"/>
    <w:rsid w:val="0015255C"/>
    <w:rsid w:val="001551C1"/>
    <w:rsid w:val="0016150A"/>
    <w:rsid w:val="0016444F"/>
    <w:rsid w:val="00164E9D"/>
    <w:rsid w:val="001660B3"/>
    <w:rsid w:val="00174449"/>
    <w:rsid w:val="001775EF"/>
    <w:rsid w:val="0018792F"/>
    <w:rsid w:val="00196117"/>
    <w:rsid w:val="001A2A95"/>
    <w:rsid w:val="001B1B53"/>
    <w:rsid w:val="001B4EB9"/>
    <w:rsid w:val="001B7042"/>
    <w:rsid w:val="001C2FA9"/>
    <w:rsid w:val="001D29CC"/>
    <w:rsid w:val="001D4087"/>
    <w:rsid w:val="001E0F97"/>
    <w:rsid w:val="001E331C"/>
    <w:rsid w:val="001F00F2"/>
    <w:rsid w:val="001F60C1"/>
    <w:rsid w:val="00203E14"/>
    <w:rsid w:val="00211D33"/>
    <w:rsid w:val="00213B88"/>
    <w:rsid w:val="0021557E"/>
    <w:rsid w:val="0022054B"/>
    <w:rsid w:val="00224784"/>
    <w:rsid w:val="002301E3"/>
    <w:rsid w:val="002324C8"/>
    <w:rsid w:val="002335FF"/>
    <w:rsid w:val="002346ED"/>
    <w:rsid w:val="00236B32"/>
    <w:rsid w:val="00244B2A"/>
    <w:rsid w:val="00256A18"/>
    <w:rsid w:val="00257DE4"/>
    <w:rsid w:val="00261551"/>
    <w:rsid w:val="0026641C"/>
    <w:rsid w:val="00276638"/>
    <w:rsid w:val="002930F0"/>
    <w:rsid w:val="00294AC3"/>
    <w:rsid w:val="002A2EA5"/>
    <w:rsid w:val="002A6429"/>
    <w:rsid w:val="002D0ECF"/>
    <w:rsid w:val="002E30C5"/>
    <w:rsid w:val="002E4A50"/>
    <w:rsid w:val="002F4B8E"/>
    <w:rsid w:val="002F6F86"/>
    <w:rsid w:val="00306DCD"/>
    <w:rsid w:val="00326491"/>
    <w:rsid w:val="00330356"/>
    <w:rsid w:val="00341AAA"/>
    <w:rsid w:val="0034281E"/>
    <w:rsid w:val="003440E1"/>
    <w:rsid w:val="0034528A"/>
    <w:rsid w:val="00360F1A"/>
    <w:rsid w:val="00370A62"/>
    <w:rsid w:val="0037558B"/>
    <w:rsid w:val="003759A0"/>
    <w:rsid w:val="00375E51"/>
    <w:rsid w:val="00377508"/>
    <w:rsid w:val="0038005D"/>
    <w:rsid w:val="00386B2B"/>
    <w:rsid w:val="00386DEF"/>
    <w:rsid w:val="003917C8"/>
    <w:rsid w:val="003A2190"/>
    <w:rsid w:val="003A45E7"/>
    <w:rsid w:val="003C3606"/>
    <w:rsid w:val="003C48AB"/>
    <w:rsid w:val="003D38DD"/>
    <w:rsid w:val="003D3E7A"/>
    <w:rsid w:val="003D6D32"/>
    <w:rsid w:val="003E42C2"/>
    <w:rsid w:val="003E7A14"/>
    <w:rsid w:val="003F2158"/>
    <w:rsid w:val="003F35D4"/>
    <w:rsid w:val="003F7DAB"/>
    <w:rsid w:val="004003C4"/>
    <w:rsid w:val="00400570"/>
    <w:rsid w:val="00400ECE"/>
    <w:rsid w:val="00412268"/>
    <w:rsid w:val="00415968"/>
    <w:rsid w:val="00415F57"/>
    <w:rsid w:val="00417450"/>
    <w:rsid w:val="00422348"/>
    <w:rsid w:val="00424DFC"/>
    <w:rsid w:val="00441648"/>
    <w:rsid w:val="00445749"/>
    <w:rsid w:val="00445CE3"/>
    <w:rsid w:val="00446DEE"/>
    <w:rsid w:val="004546D5"/>
    <w:rsid w:val="00455CE1"/>
    <w:rsid w:val="0045618A"/>
    <w:rsid w:val="00457807"/>
    <w:rsid w:val="00461D3F"/>
    <w:rsid w:val="0046309C"/>
    <w:rsid w:val="00480BAD"/>
    <w:rsid w:val="004819C5"/>
    <w:rsid w:val="00492D8B"/>
    <w:rsid w:val="004B52F1"/>
    <w:rsid w:val="004C6E2F"/>
    <w:rsid w:val="004D23A0"/>
    <w:rsid w:val="004D32DE"/>
    <w:rsid w:val="004D4D5B"/>
    <w:rsid w:val="004E399D"/>
    <w:rsid w:val="004E54F5"/>
    <w:rsid w:val="005013B9"/>
    <w:rsid w:val="005165E0"/>
    <w:rsid w:val="005312E2"/>
    <w:rsid w:val="0053348D"/>
    <w:rsid w:val="0054458C"/>
    <w:rsid w:val="00546E89"/>
    <w:rsid w:val="005538B8"/>
    <w:rsid w:val="005556D1"/>
    <w:rsid w:val="00557CB7"/>
    <w:rsid w:val="0056378E"/>
    <w:rsid w:val="00564A2A"/>
    <w:rsid w:val="005818A8"/>
    <w:rsid w:val="005831BD"/>
    <w:rsid w:val="00587F48"/>
    <w:rsid w:val="00597E02"/>
    <w:rsid w:val="005B304B"/>
    <w:rsid w:val="005C0354"/>
    <w:rsid w:val="005C38B0"/>
    <w:rsid w:val="005C4583"/>
    <w:rsid w:val="005C6C5F"/>
    <w:rsid w:val="005D1929"/>
    <w:rsid w:val="005D65DB"/>
    <w:rsid w:val="005E4785"/>
    <w:rsid w:val="005E5AD1"/>
    <w:rsid w:val="00602FC2"/>
    <w:rsid w:val="00605D94"/>
    <w:rsid w:val="0063588F"/>
    <w:rsid w:val="0064024A"/>
    <w:rsid w:val="00640886"/>
    <w:rsid w:val="00641C76"/>
    <w:rsid w:val="00643141"/>
    <w:rsid w:val="006460C8"/>
    <w:rsid w:val="00650DD2"/>
    <w:rsid w:val="00652708"/>
    <w:rsid w:val="006600D8"/>
    <w:rsid w:val="00666AA1"/>
    <w:rsid w:val="0066772C"/>
    <w:rsid w:val="006747EF"/>
    <w:rsid w:val="006753D6"/>
    <w:rsid w:val="006A5082"/>
    <w:rsid w:val="006B0846"/>
    <w:rsid w:val="006B0D2F"/>
    <w:rsid w:val="006B1426"/>
    <w:rsid w:val="006B2498"/>
    <w:rsid w:val="006C3EAF"/>
    <w:rsid w:val="006D154F"/>
    <w:rsid w:val="006E26AE"/>
    <w:rsid w:val="006E6636"/>
    <w:rsid w:val="006E66C4"/>
    <w:rsid w:val="006E695A"/>
    <w:rsid w:val="006E7961"/>
    <w:rsid w:val="006F3BA0"/>
    <w:rsid w:val="006F6C21"/>
    <w:rsid w:val="007030BB"/>
    <w:rsid w:val="00705407"/>
    <w:rsid w:val="007079AD"/>
    <w:rsid w:val="0072020A"/>
    <w:rsid w:val="00720537"/>
    <w:rsid w:val="00723719"/>
    <w:rsid w:val="00730B8E"/>
    <w:rsid w:val="0073621A"/>
    <w:rsid w:val="007502DB"/>
    <w:rsid w:val="007745D5"/>
    <w:rsid w:val="00776B3E"/>
    <w:rsid w:val="007B2264"/>
    <w:rsid w:val="007B2AB6"/>
    <w:rsid w:val="007D4798"/>
    <w:rsid w:val="007D502A"/>
    <w:rsid w:val="007E5FB0"/>
    <w:rsid w:val="007F0D08"/>
    <w:rsid w:val="007F118F"/>
    <w:rsid w:val="007F6BCA"/>
    <w:rsid w:val="00800E86"/>
    <w:rsid w:val="00801F77"/>
    <w:rsid w:val="008058A4"/>
    <w:rsid w:val="00807134"/>
    <w:rsid w:val="00814638"/>
    <w:rsid w:val="0081586A"/>
    <w:rsid w:val="008161D5"/>
    <w:rsid w:val="008169E5"/>
    <w:rsid w:val="0082064E"/>
    <w:rsid w:val="00825475"/>
    <w:rsid w:val="008455B9"/>
    <w:rsid w:val="00870FCB"/>
    <w:rsid w:val="00873396"/>
    <w:rsid w:val="00881072"/>
    <w:rsid w:val="0088188B"/>
    <w:rsid w:val="008864AC"/>
    <w:rsid w:val="008A6C50"/>
    <w:rsid w:val="008A7EA7"/>
    <w:rsid w:val="008B1BDB"/>
    <w:rsid w:val="008B6647"/>
    <w:rsid w:val="008C6199"/>
    <w:rsid w:val="008F1555"/>
    <w:rsid w:val="008F4889"/>
    <w:rsid w:val="0093018B"/>
    <w:rsid w:val="00932FF0"/>
    <w:rsid w:val="009343D3"/>
    <w:rsid w:val="0095223E"/>
    <w:rsid w:val="00967191"/>
    <w:rsid w:val="0096753B"/>
    <w:rsid w:val="00974F48"/>
    <w:rsid w:val="00980485"/>
    <w:rsid w:val="0098417C"/>
    <w:rsid w:val="00990B2C"/>
    <w:rsid w:val="009910B0"/>
    <w:rsid w:val="009920A1"/>
    <w:rsid w:val="00992C35"/>
    <w:rsid w:val="009A1018"/>
    <w:rsid w:val="009A6576"/>
    <w:rsid w:val="009B25D7"/>
    <w:rsid w:val="009B72EE"/>
    <w:rsid w:val="009D6EBC"/>
    <w:rsid w:val="009F15AE"/>
    <w:rsid w:val="00A04EAF"/>
    <w:rsid w:val="00A10460"/>
    <w:rsid w:val="00A1410D"/>
    <w:rsid w:val="00A17105"/>
    <w:rsid w:val="00A2225A"/>
    <w:rsid w:val="00A26A8F"/>
    <w:rsid w:val="00A270DD"/>
    <w:rsid w:val="00A31524"/>
    <w:rsid w:val="00A37DBF"/>
    <w:rsid w:val="00A41870"/>
    <w:rsid w:val="00A45D7F"/>
    <w:rsid w:val="00A46927"/>
    <w:rsid w:val="00A502D5"/>
    <w:rsid w:val="00A60E3F"/>
    <w:rsid w:val="00A61766"/>
    <w:rsid w:val="00A73EAD"/>
    <w:rsid w:val="00A979B0"/>
    <w:rsid w:val="00AA58A9"/>
    <w:rsid w:val="00AA7968"/>
    <w:rsid w:val="00AB1E07"/>
    <w:rsid w:val="00AB26BF"/>
    <w:rsid w:val="00AB7F06"/>
    <w:rsid w:val="00AD00C2"/>
    <w:rsid w:val="00AD1E33"/>
    <w:rsid w:val="00AD3C0E"/>
    <w:rsid w:val="00AD4B44"/>
    <w:rsid w:val="00AE0A26"/>
    <w:rsid w:val="00AE1521"/>
    <w:rsid w:val="00AF3C43"/>
    <w:rsid w:val="00B007F9"/>
    <w:rsid w:val="00B0461B"/>
    <w:rsid w:val="00B21051"/>
    <w:rsid w:val="00B21D03"/>
    <w:rsid w:val="00B22EEC"/>
    <w:rsid w:val="00B230FB"/>
    <w:rsid w:val="00B23FDB"/>
    <w:rsid w:val="00B30BEE"/>
    <w:rsid w:val="00B361D8"/>
    <w:rsid w:val="00B3736B"/>
    <w:rsid w:val="00B37EC9"/>
    <w:rsid w:val="00B40B53"/>
    <w:rsid w:val="00B45E33"/>
    <w:rsid w:val="00B743A1"/>
    <w:rsid w:val="00B82F2F"/>
    <w:rsid w:val="00B952F6"/>
    <w:rsid w:val="00B97AC4"/>
    <w:rsid w:val="00BA0D91"/>
    <w:rsid w:val="00BA627A"/>
    <w:rsid w:val="00BC5FB2"/>
    <w:rsid w:val="00BD32EB"/>
    <w:rsid w:val="00BE7065"/>
    <w:rsid w:val="00BE7480"/>
    <w:rsid w:val="00BF52E6"/>
    <w:rsid w:val="00C03D78"/>
    <w:rsid w:val="00C06F93"/>
    <w:rsid w:val="00C0778B"/>
    <w:rsid w:val="00C12E03"/>
    <w:rsid w:val="00C14722"/>
    <w:rsid w:val="00C21A4A"/>
    <w:rsid w:val="00C507F2"/>
    <w:rsid w:val="00C55BCA"/>
    <w:rsid w:val="00C80472"/>
    <w:rsid w:val="00C8130F"/>
    <w:rsid w:val="00C8656D"/>
    <w:rsid w:val="00C95A47"/>
    <w:rsid w:val="00CA587A"/>
    <w:rsid w:val="00CC00B1"/>
    <w:rsid w:val="00CC6801"/>
    <w:rsid w:val="00CD212B"/>
    <w:rsid w:val="00CE2B07"/>
    <w:rsid w:val="00CE6A2B"/>
    <w:rsid w:val="00CF271F"/>
    <w:rsid w:val="00D02766"/>
    <w:rsid w:val="00D21452"/>
    <w:rsid w:val="00D23A4B"/>
    <w:rsid w:val="00D23AB1"/>
    <w:rsid w:val="00D32535"/>
    <w:rsid w:val="00D327DA"/>
    <w:rsid w:val="00D45D70"/>
    <w:rsid w:val="00D4729A"/>
    <w:rsid w:val="00D51658"/>
    <w:rsid w:val="00D54C17"/>
    <w:rsid w:val="00D54DC2"/>
    <w:rsid w:val="00D56624"/>
    <w:rsid w:val="00D625F3"/>
    <w:rsid w:val="00D74B3F"/>
    <w:rsid w:val="00D7765A"/>
    <w:rsid w:val="00D77AE2"/>
    <w:rsid w:val="00D77BE4"/>
    <w:rsid w:val="00D84FB3"/>
    <w:rsid w:val="00D951FA"/>
    <w:rsid w:val="00D95804"/>
    <w:rsid w:val="00DB4CAC"/>
    <w:rsid w:val="00DB60A4"/>
    <w:rsid w:val="00DE1DE0"/>
    <w:rsid w:val="00DF1B2E"/>
    <w:rsid w:val="00DF26F5"/>
    <w:rsid w:val="00DF2EE2"/>
    <w:rsid w:val="00E00FE2"/>
    <w:rsid w:val="00E20B83"/>
    <w:rsid w:val="00E2483C"/>
    <w:rsid w:val="00E47148"/>
    <w:rsid w:val="00E54750"/>
    <w:rsid w:val="00E71594"/>
    <w:rsid w:val="00E71894"/>
    <w:rsid w:val="00E73B00"/>
    <w:rsid w:val="00E80B05"/>
    <w:rsid w:val="00E81BE9"/>
    <w:rsid w:val="00E8384D"/>
    <w:rsid w:val="00E84616"/>
    <w:rsid w:val="00E96613"/>
    <w:rsid w:val="00EA0896"/>
    <w:rsid w:val="00EA19C8"/>
    <w:rsid w:val="00EA41B5"/>
    <w:rsid w:val="00EB0992"/>
    <w:rsid w:val="00ED592E"/>
    <w:rsid w:val="00ED6675"/>
    <w:rsid w:val="00EE2120"/>
    <w:rsid w:val="00EF0C4A"/>
    <w:rsid w:val="00EF5C0F"/>
    <w:rsid w:val="00EF78E6"/>
    <w:rsid w:val="00F163FC"/>
    <w:rsid w:val="00F43AE8"/>
    <w:rsid w:val="00F47154"/>
    <w:rsid w:val="00F51728"/>
    <w:rsid w:val="00F63942"/>
    <w:rsid w:val="00F75EE1"/>
    <w:rsid w:val="00F818EB"/>
    <w:rsid w:val="00F844E0"/>
    <w:rsid w:val="00F8783B"/>
    <w:rsid w:val="00F921B5"/>
    <w:rsid w:val="00F9289E"/>
    <w:rsid w:val="00F94FE6"/>
    <w:rsid w:val="00F976E3"/>
    <w:rsid w:val="00FA0368"/>
    <w:rsid w:val="00FA256A"/>
    <w:rsid w:val="00FA6366"/>
    <w:rsid w:val="00FB41D5"/>
    <w:rsid w:val="00FC196D"/>
    <w:rsid w:val="00FC2996"/>
    <w:rsid w:val="00FC48D0"/>
    <w:rsid w:val="00FE4FB1"/>
    <w:rsid w:val="00FF4A78"/>
    <w:rsid w:val="00FF67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CA587A"/>
    <w:rPr>
      <w:i/>
      <w:iCs/>
    </w:rPr>
  </w:style>
  <w:style w:type="character" w:customStyle="1" w:styleId="FodnotetekstTegn">
    <w:name w:val="Fodnotetekst Tegn"/>
    <w:basedOn w:val="Standardskrifttypeiafsnit"/>
    <w:link w:val="Fodnotetekst"/>
    <w:uiPriority w:val="99"/>
    <w:semiHidden/>
    <w:rsid w:val="004B5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CA587A"/>
    <w:rPr>
      <w:i/>
      <w:iCs/>
    </w:rPr>
  </w:style>
  <w:style w:type="character" w:customStyle="1" w:styleId="FodnotetekstTegn">
    <w:name w:val="Fodnotetekst Tegn"/>
    <w:basedOn w:val="Standardskrifttypeiafsnit"/>
    <w:link w:val="Fodnotetekst"/>
    <w:uiPriority w:val="99"/>
    <w:semiHidden/>
    <w:rsid w:val="004B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4999">
      <w:bodyDiv w:val="1"/>
      <w:marLeft w:val="0"/>
      <w:marRight w:val="0"/>
      <w:marTop w:val="0"/>
      <w:marBottom w:val="0"/>
      <w:divBdr>
        <w:top w:val="none" w:sz="0" w:space="0" w:color="auto"/>
        <w:left w:val="none" w:sz="0" w:space="0" w:color="auto"/>
        <w:bottom w:val="none" w:sz="0" w:space="0" w:color="auto"/>
        <w:right w:val="none" w:sz="0" w:space="0" w:color="auto"/>
      </w:divBdr>
    </w:div>
    <w:div w:id="338314583">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900481413">
      <w:bodyDiv w:val="1"/>
      <w:marLeft w:val="0"/>
      <w:marRight w:val="0"/>
      <w:marTop w:val="0"/>
      <w:marBottom w:val="0"/>
      <w:divBdr>
        <w:top w:val="none" w:sz="0" w:space="0" w:color="auto"/>
        <w:left w:val="none" w:sz="0" w:space="0" w:color="auto"/>
        <w:bottom w:val="none" w:sz="0" w:space="0" w:color="auto"/>
        <w:right w:val="none" w:sz="0" w:space="0" w:color="auto"/>
      </w:divBdr>
    </w:div>
    <w:div w:id="1107965768">
      <w:bodyDiv w:val="1"/>
      <w:marLeft w:val="0"/>
      <w:marRight w:val="0"/>
      <w:marTop w:val="0"/>
      <w:marBottom w:val="0"/>
      <w:divBdr>
        <w:top w:val="none" w:sz="0" w:space="0" w:color="auto"/>
        <w:left w:val="none" w:sz="0" w:space="0" w:color="auto"/>
        <w:bottom w:val="none" w:sz="0" w:space="0" w:color="auto"/>
        <w:right w:val="none" w:sz="0" w:space="0" w:color="auto"/>
      </w:divBdr>
    </w:div>
    <w:div w:id="1317689692">
      <w:bodyDiv w:val="1"/>
      <w:marLeft w:val="0"/>
      <w:marRight w:val="0"/>
      <w:marTop w:val="0"/>
      <w:marBottom w:val="0"/>
      <w:divBdr>
        <w:top w:val="none" w:sz="0" w:space="0" w:color="auto"/>
        <w:left w:val="none" w:sz="0" w:space="0" w:color="auto"/>
        <w:bottom w:val="none" w:sz="0" w:space="0" w:color="auto"/>
        <w:right w:val="none" w:sz="0" w:space="0" w:color="auto"/>
      </w:divBdr>
    </w:div>
    <w:div w:id="1488861175">
      <w:bodyDiv w:val="1"/>
      <w:marLeft w:val="0"/>
      <w:marRight w:val="0"/>
      <w:marTop w:val="0"/>
      <w:marBottom w:val="0"/>
      <w:divBdr>
        <w:top w:val="none" w:sz="0" w:space="0" w:color="auto"/>
        <w:left w:val="none" w:sz="0" w:space="0" w:color="auto"/>
        <w:bottom w:val="none" w:sz="0" w:space="0" w:color="auto"/>
        <w:right w:val="none" w:sz="0" w:space="0" w:color="auto"/>
      </w:divBdr>
    </w:div>
    <w:div w:id="1516076276">
      <w:bodyDiv w:val="1"/>
      <w:marLeft w:val="0"/>
      <w:marRight w:val="0"/>
      <w:marTop w:val="0"/>
      <w:marBottom w:val="0"/>
      <w:divBdr>
        <w:top w:val="none" w:sz="0" w:space="0" w:color="auto"/>
        <w:left w:val="none" w:sz="0" w:space="0" w:color="auto"/>
        <w:bottom w:val="none" w:sz="0" w:space="0" w:color="auto"/>
        <w:right w:val="none" w:sz="0" w:space="0" w:color="auto"/>
      </w:divBdr>
    </w:div>
    <w:div w:id="1667636740">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015842">
      <w:bodyDiv w:val="1"/>
      <w:marLeft w:val="0"/>
      <w:marRight w:val="0"/>
      <w:marTop w:val="0"/>
      <w:marBottom w:val="0"/>
      <w:divBdr>
        <w:top w:val="none" w:sz="0" w:space="0" w:color="auto"/>
        <w:left w:val="none" w:sz="0" w:space="0" w:color="auto"/>
        <w:bottom w:val="none" w:sz="0" w:space="0" w:color="auto"/>
        <w:right w:val="none" w:sz="0" w:space="0" w:color="auto"/>
      </w:divBdr>
    </w:div>
    <w:div w:id="17972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kfst.dk/Vandtilsyn/Benchmarking/Benchmarking-2013/Resultatorienteret-benchmarking-2013" TargetMode="External"/><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F021-83FD-4F81-9757-4174618D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5CA7A530.dotm</Template>
  <TotalTime>188</TotalTime>
  <Pages>33</Pages>
  <Words>10635</Words>
  <Characters>64878</Characters>
  <Application>Microsoft Office Word</Application>
  <DocSecurity>0</DocSecurity>
  <Lines>540</Lines>
  <Paragraphs>150</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75363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26</cp:revision>
  <cp:lastPrinted>2014-01-07T14:07:00Z</cp:lastPrinted>
  <dcterms:created xsi:type="dcterms:W3CDTF">2013-08-23T09:07:00Z</dcterms:created>
  <dcterms:modified xsi:type="dcterms:W3CDTF">2014-01-07T14:08:00Z</dcterms:modified>
</cp:coreProperties>
</file>