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345" w:rsidRDefault="00166345"/>
    <w:tbl>
      <w:tblPr>
        <w:tblpPr w:leftFromText="141" w:rightFromText="141" w:vertAnchor="page" w:horzAnchor="page" w:tblpX="8746" w:tblpY="2405"/>
        <w:tblW w:w="0" w:type="auto"/>
        <w:tblLayout w:type="fixed"/>
        <w:tblCellMar>
          <w:left w:w="70" w:type="dxa"/>
          <w:right w:w="70" w:type="dxa"/>
        </w:tblCellMar>
        <w:tblLook w:val="0000" w:firstRow="0" w:lastRow="0" w:firstColumn="0" w:lastColumn="0" w:noHBand="0" w:noVBand="0"/>
      </w:tblPr>
      <w:tblGrid>
        <w:gridCol w:w="2784"/>
      </w:tblGrid>
      <w:tr w:rsidR="002125F5" w:rsidTr="00A138AF">
        <w:trPr>
          <w:trHeight w:val="13229" w:hRule="exact"/>
        </w:trPr>
        <w:tc>
          <w:tcPr>
            <w:tcW w:w="2784" w:type="dxa"/>
            <w:tcBorders>
              <w:bottom w:val="nil"/>
            </w:tcBorders>
          </w:tcPr>
          <w:p w:rsidRPr="00470ED3" w:rsidR="00470ED3" w:rsidP="00A138AF" w:rsidRDefault="00470ED3">
            <w:pPr>
              <w:pStyle w:val="datomv"/>
              <w:framePr w:hSpace="0" w:wrap="auto" w:vAnchor="margin" w:xAlign="left" w:yAlign="inline" w:anchorLock="0"/>
              <w:jc w:val="both"/>
              <w:rPr>
                <w:rFonts w:ascii="Arial" w:hAnsi="Arial"/>
                <w:sz w:val="18"/>
              </w:rPr>
            </w:pPr>
            <w:r w:rsidRPr="00470ED3">
              <w:rPr>
                <w:rFonts w:ascii="Arial" w:hAnsi="Arial"/>
                <w:sz w:val="18"/>
              </w:rPr>
              <w:t>Bilag D</w:t>
            </w:r>
          </w:p>
          <w:p w:rsidR="00470ED3" w:rsidP="00A138AF" w:rsidRDefault="00470ED3">
            <w:pPr>
              <w:pStyle w:val="datomv"/>
              <w:framePr w:hSpace="0" w:wrap="auto" w:vAnchor="margin" w:xAlign="left" w:yAlign="inline" w:anchorLock="0"/>
              <w:jc w:val="both"/>
              <w:rPr>
                <w:rFonts w:ascii="Arial" w:hAnsi="Arial"/>
                <w:sz w:val="16"/>
              </w:rPr>
            </w:pPr>
          </w:p>
          <w:p w:rsidR="002125F5" w:rsidP="00A138AF" w:rsidRDefault="002125F5">
            <w:pPr>
              <w:pStyle w:val="datomv"/>
              <w:framePr w:hSpace="0" w:wrap="auto" w:vAnchor="margin" w:xAlign="left" w:yAlign="inline" w:anchorLock="0"/>
              <w:jc w:val="both"/>
              <w:rPr>
                <w:rFonts w:ascii="Arial" w:hAnsi="Arial"/>
                <w:sz w:val="16"/>
              </w:rPr>
            </w:pPr>
            <w:r>
              <w:rPr>
                <w:rFonts w:ascii="Arial" w:hAnsi="Arial"/>
                <w:sz w:val="16"/>
              </w:rPr>
              <w:t xml:space="preserve">Sag nr. </w:t>
            </w:r>
            <w:r w:rsidR="00A534B6">
              <w:rPr>
                <w:rFonts w:ascii="Arial" w:hAnsi="Arial"/>
                <w:noProof/>
                <w:sz w:val="16"/>
              </w:rPr>
              <w:t>17</w:t>
            </w:r>
            <w:r w:rsidRPr="00694470">
              <w:rPr>
                <w:rFonts w:ascii="Arial" w:hAnsi="Arial"/>
                <w:noProof/>
                <w:sz w:val="16"/>
              </w:rPr>
              <w:t>/</w:t>
            </w:r>
            <w:r w:rsidR="00A534B6">
              <w:rPr>
                <w:rFonts w:ascii="Arial" w:hAnsi="Arial"/>
                <w:noProof/>
                <w:sz w:val="16"/>
              </w:rPr>
              <w:t>00089</w:t>
            </w: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jc w:val="both"/>
              <w:rPr>
                <w:rFonts w:ascii="Arial Black" w:hAnsi="Arial Black"/>
                <w:sz w:val="13"/>
              </w:rPr>
            </w:pPr>
          </w:p>
          <w:p w:rsidR="002125F5" w:rsidP="00A138AF" w:rsidRDefault="002125F5">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2125F5" w:rsidP="00A138AF" w:rsidRDefault="002125F5">
            <w:pPr>
              <w:pStyle w:val="skakt"/>
              <w:framePr w:w="0" w:hSpace="0" w:wrap="auto" w:hAnchor="text" w:xAlign="left" w:hRule="auto" w:anchorLock="0"/>
              <w:tabs>
                <w:tab w:val="left" w:pos="709"/>
              </w:tabs>
              <w:rPr>
                <w:sz w:val="16"/>
              </w:rPr>
            </w:pPr>
            <w:r>
              <w:rPr>
                <w:sz w:val="16"/>
              </w:rPr>
              <w:t>Carl Jacobsens Vej 35</w:t>
            </w:r>
          </w:p>
          <w:p w:rsidR="002125F5" w:rsidP="00A138AF" w:rsidRDefault="002125F5">
            <w:pPr>
              <w:pStyle w:val="skakt"/>
              <w:framePr w:w="0" w:hSpace="0" w:wrap="auto" w:hAnchor="text" w:xAlign="left" w:hRule="auto" w:anchorLock="0"/>
              <w:tabs>
                <w:tab w:val="left" w:pos="709"/>
              </w:tabs>
              <w:jc w:val="both"/>
              <w:rPr>
                <w:sz w:val="16"/>
              </w:rPr>
            </w:pPr>
            <w:r>
              <w:rPr>
                <w:sz w:val="16"/>
              </w:rPr>
              <w:t>2500 Valby</w:t>
            </w:r>
          </w:p>
          <w:p w:rsidR="002125F5" w:rsidP="00A138AF" w:rsidRDefault="002125F5">
            <w:pPr>
              <w:pStyle w:val="skakt"/>
              <w:framePr w:w="0" w:hSpace="0" w:wrap="auto" w:hAnchor="text" w:xAlign="left" w:hRule="auto" w:anchorLock="0"/>
              <w:tabs>
                <w:tab w:val="left" w:pos="709"/>
              </w:tabs>
              <w:rPr>
                <w:sz w:val="16"/>
              </w:rPr>
            </w:pPr>
          </w:p>
          <w:p w:rsidR="002125F5" w:rsidP="00A138AF" w:rsidRDefault="002125F5">
            <w:pPr>
              <w:pStyle w:val="skakt"/>
              <w:framePr w:w="0" w:hSpace="0" w:wrap="auto" w:hAnchor="text" w:xAlign="left" w:hRule="auto" w:anchorLock="0"/>
              <w:tabs>
                <w:tab w:val="left" w:pos="709"/>
              </w:tabs>
              <w:rPr>
                <w:sz w:val="16"/>
              </w:rPr>
            </w:pPr>
            <w:proofErr w:type="gramStart"/>
            <w:r>
              <w:rPr>
                <w:sz w:val="16"/>
              </w:rPr>
              <w:t>Tlf.           41</w:t>
            </w:r>
            <w:proofErr w:type="gramEnd"/>
            <w:r>
              <w:rPr>
                <w:sz w:val="16"/>
              </w:rPr>
              <w:t xml:space="preserve"> 71 50 00</w:t>
            </w:r>
          </w:p>
          <w:p w:rsidR="002125F5" w:rsidP="00A138AF" w:rsidRDefault="002125F5">
            <w:pPr>
              <w:pStyle w:val="skakt"/>
              <w:framePr w:w="0" w:hSpace="0" w:wrap="auto" w:hAnchor="text" w:xAlign="left" w:hRule="auto" w:anchorLock="0"/>
              <w:tabs>
                <w:tab w:val="left" w:pos="709"/>
              </w:tabs>
              <w:rPr>
                <w:sz w:val="16"/>
              </w:rPr>
            </w:pPr>
            <w:r>
              <w:rPr>
                <w:sz w:val="16"/>
              </w:rPr>
              <w:t>Fax</w:t>
            </w:r>
            <w:r>
              <w:rPr>
                <w:sz w:val="16"/>
              </w:rPr>
              <w:tab/>
              <w:t>41 71 51 00</w:t>
            </w:r>
          </w:p>
          <w:p w:rsidR="002125F5" w:rsidP="00A138AF" w:rsidRDefault="002125F5">
            <w:pPr>
              <w:pStyle w:val="skakt"/>
              <w:framePr w:w="0" w:hSpace="0" w:wrap="auto" w:hAnchor="text" w:xAlign="left" w:hRule="auto" w:anchorLock="0"/>
              <w:tabs>
                <w:tab w:val="left" w:pos="709"/>
              </w:tabs>
              <w:rPr>
                <w:sz w:val="16"/>
              </w:rPr>
            </w:pPr>
            <w:r>
              <w:rPr>
                <w:sz w:val="16"/>
              </w:rPr>
              <w:t>CVR-nr.</w:t>
            </w:r>
            <w:r>
              <w:rPr>
                <w:sz w:val="16"/>
              </w:rPr>
              <w:tab/>
              <w:t>10 29 48 19</w:t>
            </w:r>
          </w:p>
          <w:p w:rsidR="002125F5" w:rsidP="00A138AF" w:rsidRDefault="002125F5">
            <w:pPr>
              <w:pStyle w:val="skakt"/>
              <w:framePr w:w="0" w:hSpace="0" w:wrap="auto" w:hAnchor="text" w:xAlign="left" w:hRule="auto" w:anchorLock="0"/>
              <w:rPr>
                <w:sz w:val="16"/>
              </w:rPr>
            </w:pPr>
            <w:r>
              <w:rPr>
                <w:sz w:val="16"/>
              </w:rPr>
              <w:t>vand@kfst.dk</w:t>
            </w:r>
          </w:p>
          <w:p w:rsidR="002125F5" w:rsidP="00A138AF" w:rsidRDefault="002125F5">
            <w:pPr>
              <w:pStyle w:val="datomv"/>
              <w:framePr w:hSpace="0" w:wrap="auto" w:vAnchor="margin" w:xAlign="left" w:yAlign="inline" w:anchorLock="0"/>
            </w:pPr>
            <w:r>
              <w:rPr>
                <w:rFonts w:ascii="Arial" w:hAnsi="Arial"/>
                <w:sz w:val="16"/>
              </w:rPr>
              <w:t>www.kfst.dk</w:t>
            </w:r>
          </w:p>
          <w:p w:rsidR="002125F5" w:rsidP="00A138AF" w:rsidRDefault="002125F5">
            <w:pPr>
              <w:pStyle w:val="datomv"/>
              <w:framePr w:hSpace="0" w:wrap="auto" w:vAnchor="margin" w:xAlign="left" w:yAlign="inline" w:anchorLock="0"/>
              <w:spacing w:line="220" w:lineRule="exact"/>
              <w:jc w:val="both"/>
            </w:pPr>
          </w:p>
          <w:p w:rsidR="002125F5" w:rsidP="00A138AF" w:rsidRDefault="002125F5">
            <w:pPr>
              <w:pStyle w:val="datomv"/>
              <w:framePr w:hSpace="0" w:wrap="auto" w:vAnchor="margin" w:xAlign="left" w:yAlign="inline" w:anchorLock="0"/>
              <w:jc w:val="both"/>
            </w:pPr>
          </w:p>
          <w:p w:rsidR="002125F5" w:rsidP="00A138AF" w:rsidRDefault="002125F5">
            <w:pPr>
              <w:pStyle w:val="datomv"/>
              <w:framePr w:hSpace="0" w:wrap="auto" w:vAnchor="margin" w:xAlign="left" w:yAlign="inline" w:anchorLock="0"/>
              <w:spacing w:line="220" w:lineRule="exact"/>
              <w:jc w:val="both"/>
              <w:rPr>
                <w:rFonts w:ascii="Arial Black" w:hAnsi="Arial Black"/>
                <w:sz w:val="12"/>
                <w:szCs w:val="12"/>
              </w:rPr>
            </w:pPr>
            <w:r w:rsidRPr="004D4D5B">
              <w:rPr>
                <w:rFonts w:ascii="Arial Black" w:hAnsi="Arial Black"/>
                <w:sz w:val="12"/>
                <w:szCs w:val="12"/>
              </w:rPr>
              <w:t>FORSYNINGSSEKRETARIATET</w:t>
            </w:r>
          </w:p>
          <w:p w:rsidR="002125F5" w:rsidP="00A138AF" w:rsidRDefault="002125F5">
            <w:pPr>
              <w:pStyle w:val="datomv"/>
              <w:framePr w:hSpace="0" w:wrap="auto" w:vAnchor="margin" w:xAlign="left" w:yAlign="inline" w:anchorLock="0"/>
              <w:spacing w:line="220" w:lineRule="exact"/>
              <w:jc w:val="both"/>
              <w:rPr>
                <w:rFonts w:ascii="Arial Black" w:hAnsi="Arial Black"/>
                <w:sz w:val="12"/>
                <w:szCs w:val="12"/>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Cs w:val="15"/>
              </w:rPr>
            </w:pPr>
          </w:p>
          <w:p w:rsidR="00341D81" w:rsidP="00A138AF" w:rsidRDefault="00341D81">
            <w:pPr>
              <w:pStyle w:val="nederstskakt2"/>
              <w:framePr w:hSpace="0" w:wrap="auto" w:vAnchor="margin" w:xAlign="left" w:yAlign="inline" w:hRule="auto" w:anchorLock="0"/>
              <w:tabs>
                <w:tab w:val="left" w:pos="709"/>
              </w:tabs>
              <w:spacing w:line="360" w:lineRule="auto"/>
              <w:jc w:val="both"/>
              <w:rPr>
                <w:rFonts w:cs="Arial"/>
                <w:szCs w:val="15"/>
              </w:rPr>
            </w:pPr>
          </w:p>
          <w:p w:rsidR="00341D81" w:rsidP="00A138AF" w:rsidRDefault="00341D81">
            <w:pPr>
              <w:pStyle w:val="nederstskakt2"/>
              <w:framePr w:hSpace="0" w:wrap="auto" w:vAnchor="margin" w:xAlign="left" w:yAlign="inline" w:hRule="auto" w:anchorLock="0"/>
              <w:tabs>
                <w:tab w:val="left" w:pos="709"/>
              </w:tabs>
              <w:spacing w:line="360" w:lineRule="auto"/>
              <w:jc w:val="both"/>
              <w:rPr>
                <w:rFonts w:cs="Arial"/>
                <w:szCs w:val="15"/>
              </w:rPr>
            </w:pPr>
          </w:p>
          <w:p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 w:val="16"/>
                <w:szCs w:val="16"/>
              </w:rPr>
            </w:pPr>
          </w:p>
          <w:p w:rsidR="00341D81" w:rsidP="00A138AF" w:rsidRDefault="00341D81">
            <w:pPr>
              <w:pStyle w:val="nederstskakt2"/>
              <w:framePr w:hSpace="0" w:wrap="auto" w:vAnchor="margin" w:xAlign="left" w:yAlign="inline" w:hRule="auto" w:anchorLock="0"/>
              <w:tabs>
                <w:tab w:val="left" w:pos="709"/>
              </w:tabs>
              <w:spacing w:line="360" w:lineRule="auto"/>
              <w:jc w:val="both"/>
              <w:rPr>
                <w:rFonts w:cs="Arial"/>
                <w:sz w:val="16"/>
                <w:szCs w:val="16"/>
              </w:rPr>
            </w:pPr>
          </w:p>
          <w:p w:rsidRPr="005D6C6B"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2125F5" w:rsidP="00A138AF" w:rsidRDefault="002125F5">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2125F5" w:rsidP="00A138AF" w:rsidRDefault="002125F5">
            <w:pPr>
              <w:pStyle w:val="datomv"/>
              <w:framePr w:hSpace="0" w:wrap="auto" w:vAnchor="margin" w:xAlign="left" w:yAlign="inline" w:anchorLock="0"/>
              <w:spacing w:line="360" w:lineRule="auto"/>
              <w:jc w:val="both"/>
              <w:rPr>
                <w:rFonts w:ascii="Arial Black" w:hAnsi="Arial Black"/>
                <w:sz w:val="12"/>
                <w:szCs w:val="12"/>
              </w:rPr>
            </w:pPr>
            <w:r w:rsidRPr="005D6C6B">
              <w:rPr>
                <w:rFonts w:ascii="Arial" w:hAnsi="Arial" w:cs="Arial"/>
                <w:sz w:val="16"/>
                <w:szCs w:val="16"/>
              </w:rPr>
              <w:t>og Forbrugerstyrelsen.</w:t>
            </w:r>
          </w:p>
        </w:tc>
      </w:tr>
    </w:tbl>
    <w:p w:rsidRPr="004C2A76" w:rsidR="002125F5" w:rsidP="004C2A76" w:rsidRDefault="002125F5">
      <w:pPr>
        <w:rPr>
          <w:vanish/>
        </w:rPr>
      </w:pPr>
    </w:p>
    <w:tbl>
      <w:tblPr>
        <w:tblW w:w="7258" w:type="dxa"/>
        <w:tblLayout w:type="fixed"/>
        <w:tblCellMar>
          <w:left w:w="0" w:type="dxa"/>
          <w:right w:w="0" w:type="dxa"/>
        </w:tblCellMar>
        <w:tblLook w:val="0000" w:firstRow="0" w:lastRow="0" w:firstColumn="0" w:lastColumn="0" w:noHBand="0" w:noVBand="0"/>
      </w:tblPr>
      <w:tblGrid>
        <w:gridCol w:w="7258"/>
      </w:tblGrid>
      <w:tr w:rsidR="002125F5" w:rsidTr="001A3FF9">
        <w:trPr>
          <w:cantSplit/>
          <w:trHeight w:val="2692" w:hRule="exact"/>
        </w:trPr>
        <w:tc>
          <w:tcPr>
            <w:tcW w:w="7258" w:type="dxa"/>
          </w:tcPr>
          <w:p w:rsidR="002125F5" w:rsidP="001A3FF9" w:rsidRDefault="00470ED3">
            <w:pPr>
              <w:jc w:val="both"/>
            </w:pPr>
            <w:r>
              <w:rPr>
                <w:noProof/>
              </w:rPr>
              <w:t>Faxe Vandforsyning</w:t>
            </w:r>
          </w:p>
          <w:p w:rsidR="002125F5" w:rsidP="001A3FF9" w:rsidRDefault="002125F5">
            <w:pPr>
              <w:jc w:val="both"/>
            </w:pPr>
          </w:p>
          <w:p w:rsidR="002125F5" w:rsidP="00AF389C" w:rsidRDefault="002125F5">
            <w:pPr>
              <w:jc w:val="both"/>
            </w:pPr>
          </w:p>
          <w:p w:rsidR="00470ED3" w:rsidP="00AF389C" w:rsidRDefault="00470ED3">
            <w:pPr>
              <w:jc w:val="both"/>
            </w:pPr>
          </w:p>
        </w:tc>
      </w:tr>
    </w:tbl>
    <w:p w:rsidR="002125F5" w:rsidP="007E4E50" w:rsidRDefault="002125F5">
      <w:pPr>
        <w:jc w:val="both"/>
        <w:rPr>
          <w:b/>
          <w:sz w:val="28"/>
          <w:szCs w:val="28"/>
        </w:rPr>
      </w:pPr>
    </w:p>
    <w:p w:rsidRPr="00166345" w:rsidR="00166345" w:rsidP="00166345" w:rsidRDefault="00166345">
      <w:pPr>
        <w:spacing w:line="240" w:lineRule="auto"/>
        <w:jc w:val="both"/>
        <w:rPr>
          <w:b/>
          <w:sz w:val="28"/>
        </w:rPr>
      </w:pPr>
      <w:r w:rsidRPr="00166345">
        <w:rPr>
          <w:b/>
          <w:sz w:val="28"/>
        </w:rPr>
        <w:t>Udvidelse af forsyningsområde eller håndterede van</w:t>
      </w:r>
      <w:r w:rsidRPr="00166345">
        <w:rPr>
          <w:b/>
          <w:sz w:val="28"/>
        </w:rPr>
        <w:t>d</w:t>
      </w:r>
      <w:r w:rsidRPr="00166345">
        <w:rPr>
          <w:b/>
          <w:sz w:val="28"/>
        </w:rPr>
        <w:t>mængder.</w:t>
      </w:r>
    </w:p>
    <w:p w:rsidRPr="00166345" w:rsidR="00166345" w:rsidP="00166345" w:rsidRDefault="00166345">
      <w:pPr>
        <w:spacing w:line="240" w:lineRule="auto"/>
        <w:jc w:val="both"/>
        <w:rPr>
          <w:b/>
        </w:rPr>
      </w:pPr>
    </w:p>
    <w:p w:rsidR="00C779B4" w:rsidP="00166345" w:rsidRDefault="00F776DF">
      <w:pPr>
        <w:spacing w:line="240" w:lineRule="auto"/>
        <w:jc w:val="both"/>
      </w:pPr>
      <w:r w:rsidRPr="00F776DF">
        <w:t>I har i forbindelse med den økonomiske ramme for 2018 ansøgt om ti</w:t>
      </w:r>
      <w:r w:rsidRPr="00F776DF">
        <w:t>l</w:t>
      </w:r>
      <w:r w:rsidRPr="00F776DF">
        <w:t xml:space="preserve">læg </w:t>
      </w:r>
      <w:r w:rsidRPr="00166345" w:rsidR="00166345">
        <w:t xml:space="preserve">som følge af en udvidelse af </w:t>
      </w:r>
      <w:r>
        <w:t xml:space="preserve">jeres </w:t>
      </w:r>
      <w:r w:rsidRPr="00166345" w:rsidR="00166345">
        <w:t>håndterede vandmængde</w:t>
      </w:r>
      <w:r>
        <w:t xml:space="preserve"> (ØR-bekendtgørelsen § 11, stk. 4)</w:t>
      </w:r>
      <w:r w:rsidRPr="00166345" w:rsidR="00166345">
        <w:t>.</w:t>
      </w:r>
      <w:r>
        <w:t xml:space="preserve"> </w:t>
      </w:r>
    </w:p>
    <w:p w:rsidR="00C779B4" w:rsidP="00166345" w:rsidRDefault="00C779B4">
      <w:pPr>
        <w:spacing w:line="240" w:lineRule="auto"/>
        <w:jc w:val="both"/>
      </w:pPr>
    </w:p>
    <w:p w:rsidRPr="00166345" w:rsidR="00166345" w:rsidP="00166345" w:rsidRDefault="00166345">
      <w:pPr>
        <w:spacing w:line="240" w:lineRule="auto"/>
        <w:jc w:val="both"/>
      </w:pPr>
      <w:r w:rsidRPr="00166345">
        <w:t>I har ansøgt om et tillæg på 340.710 kr.</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For a</w:t>
      </w:r>
      <w:r w:rsidR="00F776DF">
        <w:t xml:space="preserve">t opnå tillæg, skal der </w:t>
      </w:r>
      <w:r w:rsidRPr="00166345">
        <w:t>være sket en udvidelse af jeres forsyningso</w:t>
      </w:r>
      <w:r w:rsidRPr="00166345">
        <w:t>m</w:t>
      </w:r>
      <w:r w:rsidRPr="00166345">
        <w:t>råde eller håndterede vandmængder. I skal derudover godtgøre, at jeres årlige drifts- eller anlægsomkostninger er væsentligt forøget som følge af udvidelsen af jeres forsyningsområde eller håndterede vandmængder. Det er Forsyningssekretariatet, der fastsætter tillæggets størrelse (ØR-bekendtgørelsens § 11, stk. 4).</w:t>
      </w:r>
    </w:p>
    <w:p w:rsidRPr="00166345" w:rsidR="00166345" w:rsidP="00166345" w:rsidRDefault="00166345">
      <w:pPr>
        <w:spacing w:line="240" w:lineRule="auto"/>
        <w:jc w:val="both"/>
      </w:pPr>
    </w:p>
    <w:p w:rsidRPr="00166345" w:rsidR="00166345" w:rsidP="00166345" w:rsidRDefault="00166345">
      <w:pPr>
        <w:spacing w:line="240" w:lineRule="auto"/>
        <w:jc w:val="both"/>
        <w:rPr>
          <w:b/>
          <w:bCs/>
          <w:i/>
        </w:rPr>
      </w:pPr>
      <w:r w:rsidRPr="00166345">
        <w:rPr>
          <w:b/>
          <w:bCs/>
          <w:i/>
        </w:rPr>
        <w:t>Udvidelse af jeres forsyningsområde eller håndterede vandmængder</w:t>
      </w:r>
    </w:p>
    <w:p w:rsidRPr="00166345" w:rsidR="00166345" w:rsidP="00166345" w:rsidRDefault="00166345">
      <w:pPr>
        <w:spacing w:line="240" w:lineRule="auto"/>
        <w:jc w:val="both"/>
      </w:pPr>
      <w:r w:rsidRPr="00166345">
        <w:t>I har oplyst, at I har haft en forøgelse af jeres håndterede (solgte) van</w:t>
      </w:r>
      <w:r w:rsidRPr="00166345">
        <w:t>d</w:t>
      </w:r>
      <w:r w:rsidRPr="00166345">
        <w:t>mængde fra 2015 til 2016 på i alt 6,3 pct. Forøgelsen er primært begru</w:t>
      </w:r>
      <w:r w:rsidRPr="00166345">
        <w:t>n</w:t>
      </w:r>
      <w:r w:rsidRPr="00166345">
        <w:t>det i, at jeres leverance til Royal Unibrew fra 2015 til 2016 er forøget med 61.966 m</w:t>
      </w:r>
      <w:r w:rsidRPr="00166345">
        <w:rPr>
          <w:vertAlign w:val="superscript"/>
        </w:rPr>
        <w:t>3</w:t>
      </w:r>
      <w:r w:rsidRPr="00166345">
        <w:t xml:space="preserve"> svarende til 7,3 pct.</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Af nedenstående tabel fremgår udviklingen af jeres debiterede van</w:t>
      </w:r>
      <w:r w:rsidRPr="00166345">
        <w:t>d</w:t>
      </w:r>
      <w:r w:rsidRPr="00166345">
        <w:t>mængde for henholdsvis Royal Unibrew og øvrige forbrugere for peri</w:t>
      </w:r>
      <w:r w:rsidRPr="00166345">
        <w:t>o</w:t>
      </w:r>
      <w:r w:rsidRPr="00166345">
        <w:t>den 2013 til 2016:</w:t>
      </w:r>
    </w:p>
    <w:p w:rsidRPr="00166345" w:rsidR="00166345" w:rsidP="00166345" w:rsidRDefault="00166345">
      <w:pPr>
        <w:spacing w:line="240" w:lineRule="auto"/>
        <w:jc w:val="both"/>
      </w:pPr>
    </w:p>
    <w:p w:rsidRPr="005F1688" w:rsidR="00166345" w:rsidP="00166345" w:rsidRDefault="00166345">
      <w:pPr>
        <w:spacing w:line="240" w:lineRule="auto"/>
        <w:jc w:val="both"/>
        <w:rPr>
          <w:sz w:val="22"/>
        </w:rPr>
      </w:pPr>
      <w:r w:rsidRPr="005F1688">
        <w:rPr>
          <w:sz w:val="22"/>
        </w:rPr>
        <w:t>Tabel 1:</w:t>
      </w:r>
    </w:p>
    <w:tbl>
      <w:tblPr>
        <w:tblW w:w="7245" w:type="dxa"/>
        <w:tblInd w:w="55" w:type="dxa"/>
        <w:tblCellMar>
          <w:left w:w="70" w:type="dxa"/>
          <w:right w:w="70" w:type="dxa"/>
        </w:tblCellMar>
        <w:tblLook w:val="04A0" w:firstRow="1" w:lastRow="0" w:firstColumn="1" w:lastColumn="0" w:noHBand="0" w:noVBand="1"/>
      </w:tblPr>
      <w:tblGrid>
        <w:gridCol w:w="1858"/>
        <w:gridCol w:w="1075"/>
        <w:gridCol w:w="1099"/>
        <w:gridCol w:w="1144"/>
        <w:gridCol w:w="1101"/>
        <w:gridCol w:w="1045"/>
      </w:tblGrid>
      <w:tr w:rsidRPr="00166345" w:rsidR="00A4296A" w:rsidTr="00697CCC">
        <w:trPr>
          <w:trHeight w:val="300"/>
        </w:trPr>
        <w:tc>
          <w:tcPr>
            <w:tcW w:w="185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4296A" w:rsidR="00166345" w:rsidP="00166345" w:rsidRDefault="00166345">
            <w:pPr>
              <w:spacing w:line="240" w:lineRule="auto"/>
              <w:jc w:val="both"/>
              <w:rPr>
                <w:b/>
                <w:sz w:val="22"/>
              </w:rPr>
            </w:pPr>
            <w:r w:rsidRPr="00A4296A">
              <w:rPr>
                <w:b/>
                <w:sz w:val="22"/>
              </w:rPr>
              <w:t>Vandsalg i m</w:t>
            </w:r>
            <w:r w:rsidRPr="00A4296A">
              <w:rPr>
                <w:b/>
                <w:sz w:val="22"/>
                <w:vertAlign w:val="superscript"/>
              </w:rPr>
              <w:t>3</w:t>
            </w:r>
          </w:p>
        </w:tc>
        <w:tc>
          <w:tcPr>
            <w:tcW w:w="1075" w:type="dxa"/>
            <w:tcBorders>
              <w:top w:val="single" w:color="auto" w:sz="4" w:space="0"/>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2013</w:t>
            </w:r>
          </w:p>
        </w:tc>
        <w:tc>
          <w:tcPr>
            <w:tcW w:w="1099" w:type="dxa"/>
            <w:tcBorders>
              <w:top w:val="single" w:color="auto" w:sz="4" w:space="0"/>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2014</w:t>
            </w:r>
          </w:p>
        </w:tc>
        <w:tc>
          <w:tcPr>
            <w:tcW w:w="1144" w:type="dxa"/>
            <w:tcBorders>
              <w:top w:val="single" w:color="auto" w:sz="4" w:space="0"/>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2015</w:t>
            </w:r>
          </w:p>
        </w:tc>
        <w:tc>
          <w:tcPr>
            <w:tcW w:w="1101" w:type="dxa"/>
            <w:tcBorders>
              <w:top w:val="single" w:color="auto" w:sz="4" w:space="0"/>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2016</w:t>
            </w:r>
          </w:p>
        </w:tc>
        <w:tc>
          <w:tcPr>
            <w:tcW w:w="968" w:type="dxa"/>
            <w:tcBorders>
              <w:top w:val="single" w:color="auto" w:sz="4" w:space="0"/>
              <w:left w:val="nil"/>
              <w:bottom w:val="single" w:color="auto" w:sz="4" w:space="0"/>
              <w:right w:val="single" w:color="auto" w:sz="4" w:space="0"/>
            </w:tcBorders>
            <w:shd w:val="clear" w:color="auto" w:fill="auto"/>
            <w:noWrap/>
            <w:vAlign w:val="bottom"/>
            <w:hideMark/>
          </w:tcPr>
          <w:p w:rsidRPr="00A4296A" w:rsidR="00166345" w:rsidP="008B7125" w:rsidRDefault="00166345">
            <w:pPr>
              <w:spacing w:line="240" w:lineRule="auto"/>
              <w:rPr>
                <w:b/>
                <w:sz w:val="22"/>
              </w:rPr>
            </w:pPr>
            <w:r w:rsidRPr="00A4296A">
              <w:rPr>
                <w:b/>
                <w:sz w:val="22"/>
              </w:rPr>
              <w:t>Forøgelse i kr. fra 2015 til 2016</w:t>
            </w:r>
          </w:p>
        </w:tc>
      </w:tr>
      <w:tr w:rsidRPr="00166345" w:rsidR="00A4296A" w:rsidTr="00697CCC">
        <w:trPr>
          <w:trHeight w:val="300"/>
        </w:trPr>
        <w:tc>
          <w:tcPr>
            <w:tcW w:w="1858" w:type="dxa"/>
            <w:tcBorders>
              <w:top w:val="nil"/>
              <w:left w:val="single" w:color="auto" w:sz="4" w:space="0"/>
              <w:bottom w:val="single" w:color="auto" w:sz="4" w:space="0"/>
              <w:right w:val="single" w:color="auto" w:sz="4" w:space="0"/>
            </w:tcBorders>
            <w:shd w:val="clear" w:color="auto" w:fill="auto"/>
            <w:noWrap/>
            <w:vAlign w:val="bottom"/>
            <w:hideMark/>
          </w:tcPr>
          <w:p w:rsidRPr="00A4296A" w:rsidR="00166345" w:rsidP="00166345" w:rsidRDefault="00166345">
            <w:pPr>
              <w:spacing w:line="240" w:lineRule="auto"/>
              <w:jc w:val="both"/>
              <w:rPr>
                <w:sz w:val="22"/>
              </w:rPr>
            </w:pPr>
            <w:r w:rsidRPr="00A4296A">
              <w:rPr>
                <w:sz w:val="22"/>
              </w:rPr>
              <w:t>Royal Unibrew</w:t>
            </w:r>
          </w:p>
        </w:tc>
        <w:tc>
          <w:tcPr>
            <w:tcW w:w="1075"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777.302</w:t>
            </w:r>
          </w:p>
        </w:tc>
        <w:tc>
          <w:tcPr>
            <w:tcW w:w="1099"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820.427</w:t>
            </w:r>
          </w:p>
        </w:tc>
        <w:tc>
          <w:tcPr>
            <w:tcW w:w="1144"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848.927</w:t>
            </w:r>
          </w:p>
        </w:tc>
        <w:tc>
          <w:tcPr>
            <w:tcW w:w="1101"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910.893</w:t>
            </w:r>
          </w:p>
        </w:tc>
        <w:tc>
          <w:tcPr>
            <w:tcW w:w="968"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61.996</w:t>
            </w:r>
          </w:p>
        </w:tc>
      </w:tr>
      <w:tr w:rsidRPr="00166345" w:rsidR="00A4296A" w:rsidTr="00697CCC">
        <w:trPr>
          <w:trHeight w:val="300"/>
        </w:trPr>
        <w:tc>
          <w:tcPr>
            <w:tcW w:w="1858" w:type="dxa"/>
            <w:tcBorders>
              <w:top w:val="nil"/>
              <w:left w:val="single" w:color="auto" w:sz="4" w:space="0"/>
              <w:bottom w:val="single" w:color="auto" w:sz="4" w:space="0"/>
              <w:right w:val="single" w:color="auto" w:sz="4" w:space="0"/>
            </w:tcBorders>
            <w:shd w:val="clear" w:color="auto" w:fill="auto"/>
            <w:noWrap/>
            <w:vAlign w:val="bottom"/>
            <w:hideMark/>
          </w:tcPr>
          <w:p w:rsidRPr="00A4296A" w:rsidR="00166345" w:rsidP="00166345" w:rsidRDefault="00166345">
            <w:pPr>
              <w:spacing w:line="240" w:lineRule="auto"/>
              <w:jc w:val="both"/>
              <w:rPr>
                <w:sz w:val="22"/>
              </w:rPr>
            </w:pPr>
            <w:r w:rsidRPr="00A4296A">
              <w:rPr>
                <w:sz w:val="22"/>
              </w:rPr>
              <w:t>Øvrige forbrugere</w:t>
            </w:r>
          </w:p>
        </w:tc>
        <w:tc>
          <w:tcPr>
            <w:tcW w:w="1075"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 604.714</w:t>
            </w:r>
          </w:p>
        </w:tc>
        <w:tc>
          <w:tcPr>
            <w:tcW w:w="1099"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628.692</w:t>
            </w:r>
          </w:p>
        </w:tc>
        <w:tc>
          <w:tcPr>
            <w:tcW w:w="1144"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626.419</w:t>
            </w:r>
          </w:p>
        </w:tc>
        <w:tc>
          <w:tcPr>
            <w:tcW w:w="1101"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657.772</w:t>
            </w:r>
          </w:p>
        </w:tc>
        <w:tc>
          <w:tcPr>
            <w:tcW w:w="968"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sz w:val="22"/>
              </w:rPr>
            </w:pPr>
            <w:r w:rsidRPr="00A4296A">
              <w:rPr>
                <w:sz w:val="22"/>
              </w:rPr>
              <w:t>31.353</w:t>
            </w:r>
          </w:p>
        </w:tc>
      </w:tr>
      <w:tr w:rsidRPr="00166345" w:rsidR="00A4296A" w:rsidTr="00697CCC">
        <w:trPr>
          <w:trHeight w:val="300"/>
        </w:trPr>
        <w:tc>
          <w:tcPr>
            <w:tcW w:w="1858" w:type="dxa"/>
            <w:tcBorders>
              <w:top w:val="nil"/>
              <w:left w:val="single" w:color="auto" w:sz="4" w:space="0"/>
              <w:bottom w:val="single" w:color="auto" w:sz="4" w:space="0"/>
              <w:right w:val="single" w:color="auto" w:sz="4" w:space="0"/>
            </w:tcBorders>
            <w:shd w:val="clear" w:color="auto" w:fill="auto"/>
            <w:noWrap/>
            <w:vAlign w:val="bottom"/>
            <w:hideMark/>
          </w:tcPr>
          <w:p w:rsidRPr="00A4296A" w:rsidR="00166345" w:rsidP="00166345" w:rsidRDefault="00166345">
            <w:pPr>
              <w:spacing w:line="240" w:lineRule="auto"/>
              <w:jc w:val="both"/>
              <w:rPr>
                <w:b/>
                <w:sz w:val="22"/>
              </w:rPr>
            </w:pPr>
            <w:r w:rsidRPr="00A4296A">
              <w:rPr>
                <w:b/>
                <w:sz w:val="22"/>
              </w:rPr>
              <w:t>Vandsalg i m</w:t>
            </w:r>
            <w:r w:rsidRPr="00A4296A">
              <w:rPr>
                <w:b/>
                <w:sz w:val="22"/>
                <w:vertAlign w:val="superscript"/>
              </w:rPr>
              <w:t xml:space="preserve">3 </w:t>
            </w:r>
            <w:r w:rsidRPr="00A4296A">
              <w:rPr>
                <w:b/>
                <w:sz w:val="22"/>
              </w:rPr>
              <w:t>i alt</w:t>
            </w:r>
          </w:p>
        </w:tc>
        <w:tc>
          <w:tcPr>
            <w:tcW w:w="1075"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 1.382.016</w:t>
            </w:r>
          </w:p>
        </w:tc>
        <w:tc>
          <w:tcPr>
            <w:tcW w:w="1099"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 1.449.119</w:t>
            </w:r>
          </w:p>
        </w:tc>
        <w:tc>
          <w:tcPr>
            <w:tcW w:w="1144"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1.475.346</w:t>
            </w:r>
          </w:p>
        </w:tc>
        <w:tc>
          <w:tcPr>
            <w:tcW w:w="1101"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1.568.665</w:t>
            </w:r>
          </w:p>
        </w:tc>
        <w:tc>
          <w:tcPr>
            <w:tcW w:w="968" w:type="dxa"/>
            <w:tcBorders>
              <w:top w:val="nil"/>
              <w:left w:val="nil"/>
              <w:bottom w:val="single" w:color="auto" w:sz="4" w:space="0"/>
              <w:right w:val="single" w:color="auto" w:sz="4" w:space="0"/>
            </w:tcBorders>
            <w:shd w:val="clear" w:color="auto" w:fill="auto"/>
            <w:noWrap/>
            <w:vAlign w:val="bottom"/>
            <w:hideMark/>
          </w:tcPr>
          <w:p w:rsidRPr="00A4296A" w:rsidR="00166345" w:rsidP="00A4296A" w:rsidRDefault="00166345">
            <w:pPr>
              <w:spacing w:line="240" w:lineRule="auto"/>
              <w:jc w:val="right"/>
              <w:rPr>
                <w:b/>
                <w:sz w:val="22"/>
              </w:rPr>
            </w:pPr>
            <w:r w:rsidRPr="00A4296A">
              <w:rPr>
                <w:b/>
                <w:sz w:val="22"/>
              </w:rPr>
              <w:t> 93.319</w:t>
            </w:r>
          </w:p>
        </w:tc>
      </w:tr>
    </w:tbl>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Jeres gennemsnitslige debiterede vandmængde for perioden 2013 til 2015 udgør 1.435.494 m</w:t>
      </w:r>
      <w:r w:rsidRPr="00166345">
        <w:rPr>
          <w:vertAlign w:val="superscript"/>
        </w:rPr>
        <w:t>3</w:t>
      </w:r>
      <w:r w:rsidRPr="00166345">
        <w:t xml:space="preserve">. Set i forhold til jeres debiterede vandmængde i 2016 er dette en forøgelse på ca. 9,2 pct. </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Det er på baggrund af jeres oplysninger vores vurdering, at I har god</w:t>
      </w:r>
      <w:r w:rsidRPr="00166345">
        <w:t>t</w:t>
      </w:r>
      <w:r w:rsidRPr="00166345">
        <w:t>gjort, at der er sket en udvidelse af jeres håndterede vandmængder (ØR-bekendtgørelsen § 11, stk. 4).</w:t>
      </w:r>
    </w:p>
    <w:p w:rsidRPr="00166345" w:rsidR="00166345" w:rsidP="00166345" w:rsidRDefault="00166345">
      <w:pPr>
        <w:spacing w:line="240" w:lineRule="auto"/>
        <w:jc w:val="both"/>
      </w:pPr>
    </w:p>
    <w:p w:rsidRPr="00166345" w:rsidR="00166345" w:rsidP="00166345" w:rsidRDefault="00166345">
      <w:pPr>
        <w:spacing w:line="240" w:lineRule="auto"/>
        <w:jc w:val="both"/>
        <w:rPr>
          <w:b/>
          <w:i/>
        </w:rPr>
      </w:pPr>
      <w:r w:rsidRPr="00166345">
        <w:rPr>
          <w:b/>
          <w:i/>
        </w:rPr>
        <w:t>Forøgelse som følge af en udvidelse af forsyningsområde eller håndt</w:t>
      </w:r>
      <w:r w:rsidRPr="00166345">
        <w:rPr>
          <w:b/>
          <w:i/>
        </w:rPr>
        <w:t>e</w:t>
      </w:r>
      <w:r w:rsidRPr="00166345">
        <w:rPr>
          <w:b/>
          <w:i/>
        </w:rPr>
        <w:t>rede vandmængder</w:t>
      </w:r>
    </w:p>
    <w:p w:rsidRPr="00166345" w:rsidR="00166345" w:rsidP="00166345" w:rsidRDefault="00166345">
      <w:pPr>
        <w:spacing w:line="240" w:lineRule="auto"/>
        <w:jc w:val="both"/>
      </w:pPr>
      <w:r w:rsidRPr="00166345">
        <w:t>Det er en betingelse for at få et tillæg til at I kan godtgøre, at jeres årlige drifts- eller anlægsomkostninger er forøget som følge af en udvidelse af jeres forsyningsområde eller håndterede vandmængder.</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I har indsendt oplysning om udviklingen af jeres samlede produktions-/distributions- og el omkostninger for perioden 2013 til 2016, som viser følgende:</w:t>
      </w:r>
    </w:p>
    <w:p w:rsidRPr="00166345" w:rsidR="00166345" w:rsidP="00166345" w:rsidRDefault="00166345">
      <w:pPr>
        <w:spacing w:line="240" w:lineRule="auto"/>
        <w:jc w:val="both"/>
      </w:pPr>
    </w:p>
    <w:p w:rsidRPr="005F1688" w:rsidR="00166345" w:rsidP="00166345" w:rsidRDefault="00166345">
      <w:pPr>
        <w:spacing w:line="240" w:lineRule="auto"/>
        <w:jc w:val="both"/>
        <w:rPr>
          <w:sz w:val="22"/>
        </w:rPr>
      </w:pPr>
      <w:r w:rsidRPr="005F1688">
        <w:rPr>
          <w:sz w:val="22"/>
        </w:rPr>
        <w:t>Tabel 2:</w:t>
      </w:r>
    </w:p>
    <w:tbl>
      <w:tblPr>
        <w:tblW w:w="6961" w:type="dxa"/>
        <w:tblInd w:w="55" w:type="dxa"/>
        <w:tblCellMar>
          <w:left w:w="70" w:type="dxa"/>
          <w:right w:w="70" w:type="dxa"/>
        </w:tblCellMar>
        <w:tblLook w:val="04A0" w:firstRow="1" w:lastRow="0" w:firstColumn="1" w:lastColumn="0" w:noHBand="0" w:noVBand="1"/>
      </w:tblPr>
      <w:tblGrid>
        <w:gridCol w:w="1500"/>
        <w:gridCol w:w="1075"/>
        <w:gridCol w:w="1020"/>
        <w:gridCol w:w="1075"/>
        <w:gridCol w:w="1075"/>
        <w:gridCol w:w="1216"/>
      </w:tblGrid>
      <w:tr w:rsidRPr="00166345" w:rsidR="00166345" w:rsidTr="00A30016">
        <w:trPr>
          <w:trHeight w:val="300"/>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B7125" w:rsidR="00166345" w:rsidP="00166345" w:rsidRDefault="00166345">
            <w:pPr>
              <w:spacing w:line="240" w:lineRule="auto"/>
              <w:jc w:val="both"/>
              <w:rPr>
                <w:b/>
                <w:sz w:val="22"/>
              </w:rPr>
            </w:pPr>
            <w:r w:rsidRPr="008B7125">
              <w:rPr>
                <w:b/>
                <w:sz w:val="22"/>
              </w:rPr>
              <w:t>Omkostninger i kr.</w:t>
            </w:r>
          </w:p>
        </w:tc>
        <w:tc>
          <w:tcPr>
            <w:tcW w:w="1075" w:type="dxa"/>
            <w:tcBorders>
              <w:top w:val="single" w:color="auto" w:sz="4" w:space="0"/>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 2013</w:t>
            </w:r>
          </w:p>
        </w:tc>
        <w:tc>
          <w:tcPr>
            <w:tcW w:w="1020" w:type="dxa"/>
            <w:tcBorders>
              <w:top w:val="single" w:color="auto" w:sz="4" w:space="0"/>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2014</w:t>
            </w:r>
          </w:p>
        </w:tc>
        <w:tc>
          <w:tcPr>
            <w:tcW w:w="1075" w:type="dxa"/>
            <w:tcBorders>
              <w:top w:val="single" w:color="auto" w:sz="4" w:space="0"/>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2015</w:t>
            </w:r>
          </w:p>
        </w:tc>
        <w:tc>
          <w:tcPr>
            <w:tcW w:w="1075" w:type="dxa"/>
            <w:tcBorders>
              <w:top w:val="single" w:color="auto" w:sz="4" w:space="0"/>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2016</w:t>
            </w:r>
          </w:p>
        </w:tc>
        <w:tc>
          <w:tcPr>
            <w:tcW w:w="1216" w:type="dxa"/>
            <w:tcBorders>
              <w:top w:val="single" w:color="auto" w:sz="4" w:space="0"/>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rPr>
                <w:b/>
                <w:sz w:val="22"/>
              </w:rPr>
            </w:pPr>
            <w:r w:rsidRPr="008B7125">
              <w:rPr>
                <w:b/>
                <w:sz w:val="22"/>
              </w:rPr>
              <w:t>Forøgelse i kr. fra 2015 til 2016</w:t>
            </w:r>
          </w:p>
        </w:tc>
      </w:tr>
      <w:tr w:rsidRPr="00166345" w:rsidR="00166345" w:rsidTr="00A30016">
        <w:trPr>
          <w:trHeight w:val="300"/>
        </w:trPr>
        <w:tc>
          <w:tcPr>
            <w:tcW w:w="1500" w:type="dxa"/>
            <w:tcBorders>
              <w:top w:val="nil"/>
              <w:left w:val="single" w:color="auto" w:sz="4" w:space="0"/>
              <w:bottom w:val="single" w:color="auto" w:sz="4" w:space="0"/>
              <w:right w:val="single" w:color="auto" w:sz="4" w:space="0"/>
            </w:tcBorders>
            <w:shd w:val="clear" w:color="auto" w:fill="auto"/>
            <w:noWrap/>
            <w:vAlign w:val="bottom"/>
            <w:hideMark/>
          </w:tcPr>
          <w:p w:rsidRPr="008B7125" w:rsidR="00166345" w:rsidP="005F1688" w:rsidRDefault="00166345">
            <w:pPr>
              <w:spacing w:line="240" w:lineRule="auto"/>
              <w:rPr>
                <w:sz w:val="22"/>
              </w:rPr>
            </w:pPr>
            <w:r w:rsidRPr="008B7125">
              <w:rPr>
                <w:sz w:val="22"/>
              </w:rPr>
              <w:t>Produktions-/distributions</w:t>
            </w:r>
          </w:p>
          <w:p w:rsidRPr="008B7125" w:rsidR="00166345" w:rsidP="005F1688" w:rsidRDefault="00166345">
            <w:pPr>
              <w:spacing w:line="240" w:lineRule="auto"/>
              <w:rPr>
                <w:sz w:val="22"/>
              </w:rPr>
            </w:pPr>
            <w:proofErr w:type="gramStart"/>
            <w:r w:rsidRPr="008B7125">
              <w:rPr>
                <w:sz w:val="22"/>
              </w:rPr>
              <w:t>omkostninger ekskl. el</w:t>
            </w:r>
            <w:proofErr w:type="gramEnd"/>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 1.518.002</w:t>
            </w:r>
          </w:p>
        </w:tc>
        <w:tc>
          <w:tcPr>
            <w:tcW w:w="1020"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1.333.218</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 1.528.139</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 1.730.772</w:t>
            </w:r>
          </w:p>
        </w:tc>
        <w:tc>
          <w:tcPr>
            <w:tcW w:w="1216"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202.633</w:t>
            </w:r>
          </w:p>
        </w:tc>
      </w:tr>
      <w:tr w:rsidRPr="00166345" w:rsidR="00166345" w:rsidTr="00A30016">
        <w:trPr>
          <w:trHeight w:val="300"/>
        </w:trPr>
        <w:tc>
          <w:tcPr>
            <w:tcW w:w="1500" w:type="dxa"/>
            <w:tcBorders>
              <w:top w:val="nil"/>
              <w:left w:val="single" w:color="auto" w:sz="4" w:space="0"/>
              <w:bottom w:val="single" w:color="auto" w:sz="4" w:space="0"/>
              <w:right w:val="single" w:color="auto" w:sz="4" w:space="0"/>
            </w:tcBorders>
            <w:shd w:val="clear" w:color="auto" w:fill="auto"/>
            <w:noWrap/>
            <w:vAlign w:val="bottom"/>
            <w:hideMark/>
          </w:tcPr>
          <w:p w:rsidRPr="008B7125" w:rsidR="00166345" w:rsidP="005F1688" w:rsidRDefault="00166345">
            <w:pPr>
              <w:spacing w:line="240" w:lineRule="auto"/>
              <w:rPr>
                <w:sz w:val="22"/>
              </w:rPr>
            </w:pPr>
            <w:r w:rsidRPr="008B7125">
              <w:rPr>
                <w:sz w:val="22"/>
              </w:rPr>
              <w:t> El omkostni</w:t>
            </w:r>
            <w:r w:rsidRPr="008B7125">
              <w:rPr>
                <w:sz w:val="22"/>
              </w:rPr>
              <w:t>n</w:t>
            </w:r>
            <w:r w:rsidRPr="008B7125">
              <w:rPr>
                <w:sz w:val="22"/>
              </w:rPr>
              <w:t>ger</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 794.956</w:t>
            </w:r>
          </w:p>
        </w:tc>
        <w:tc>
          <w:tcPr>
            <w:tcW w:w="1020"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 696.978</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690.318</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 828.396</w:t>
            </w:r>
          </w:p>
        </w:tc>
        <w:tc>
          <w:tcPr>
            <w:tcW w:w="1216"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sz w:val="22"/>
              </w:rPr>
            </w:pPr>
            <w:r w:rsidRPr="008B7125">
              <w:rPr>
                <w:sz w:val="22"/>
              </w:rPr>
              <w:t> 138.077</w:t>
            </w:r>
          </w:p>
        </w:tc>
      </w:tr>
      <w:tr w:rsidRPr="00166345" w:rsidR="00166345" w:rsidTr="00A30016">
        <w:trPr>
          <w:trHeight w:val="300"/>
        </w:trPr>
        <w:tc>
          <w:tcPr>
            <w:tcW w:w="1500" w:type="dxa"/>
            <w:tcBorders>
              <w:top w:val="nil"/>
              <w:left w:val="single" w:color="auto" w:sz="4" w:space="0"/>
              <w:bottom w:val="single" w:color="auto" w:sz="4" w:space="0"/>
              <w:right w:val="single" w:color="auto" w:sz="4" w:space="0"/>
            </w:tcBorders>
            <w:shd w:val="clear" w:color="auto" w:fill="auto"/>
            <w:noWrap/>
            <w:vAlign w:val="bottom"/>
            <w:hideMark/>
          </w:tcPr>
          <w:p w:rsidRPr="008B7125" w:rsidR="00166345" w:rsidP="005F1688" w:rsidRDefault="00166345">
            <w:pPr>
              <w:spacing w:line="240" w:lineRule="auto"/>
              <w:rPr>
                <w:b/>
                <w:sz w:val="22"/>
              </w:rPr>
            </w:pPr>
            <w:r w:rsidRPr="008B7125">
              <w:rPr>
                <w:b/>
                <w:sz w:val="22"/>
              </w:rPr>
              <w:t> I alt</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2.312.957</w:t>
            </w:r>
          </w:p>
        </w:tc>
        <w:tc>
          <w:tcPr>
            <w:tcW w:w="1020"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2.030.195</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2.218.457</w:t>
            </w:r>
          </w:p>
        </w:tc>
        <w:tc>
          <w:tcPr>
            <w:tcW w:w="1075"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2.559.167</w:t>
            </w:r>
          </w:p>
        </w:tc>
        <w:tc>
          <w:tcPr>
            <w:tcW w:w="1216" w:type="dxa"/>
            <w:tcBorders>
              <w:top w:val="nil"/>
              <w:left w:val="nil"/>
              <w:bottom w:val="single" w:color="auto" w:sz="4" w:space="0"/>
              <w:right w:val="single" w:color="auto" w:sz="4" w:space="0"/>
            </w:tcBorders>
            <w:shd w:val="clear" w:color="auto" w:fill="auto"/>
            <w:noWrap/>
            <w:vAlign w:val="bottom"/>
            <w:hideMark/>
          </w:tcPr>
          <w:p w:rsidRPr="008B7125" w:rsidR="00166345" w:rsidP="008B7125" w:rsidRDefault="00166345">
            <w:pPr>
              <w:spacing w:line="240" w:lineRule="auto"/>
              <w:jc w:val="right"/>
              <w:rPr>
                <w:b/>
                <w:sz w:val="22"/>
              </w:rPr>
            </w:pPr>
            <w:r w:rsidRPr="008B7125">
              <w:rPr>
                <w:b/>
                <w:sz w:val="22"/>
              </w:rPr>
              <w:t>340.710</w:t>
            </w:r>
          </w:p>
        </w:tc>
      </w:tr>
    </w:tbl>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For så vidt angår jeres el-omkostninger i 2013, har I oplyst, at årsagen til at disse i 2013 var væsentlig højere end for årene 2014 og 2015 er, at e</w:t>
      </w:r>
      <w:r w:rsidRPr="00166345">
        <w:t>l</w:t>
      </w:r>
      <w:r w:rsidRPr="00166345">
        <w:t>priserne i Danmark i 2013 var ca. 15 – 20 pct. højere set i forhold til 2014 og 2015.</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I har anført, at stigningen i jeres produktions – og el omkostninger er en følge af en forøgelse af jeres samlede håndterede vandmængde på i alt 93.319 m</w:t>
      </w:r>
      <w:r w:rsidRPr="00166345">
        <w:rPr>
          <w:vertAlign w:val="superscript"/>
        </w:rPr>
        <w:t>3</w:t>
      </w:r>
      <w:r w:rsidRPr="00166345">
        <w:t xml:space="preserve"> fra 2015 til 2016. De forøgede omkostninger skyldes primært, at jeres vandleverance til Royal Unibrew er forøget med 7,3 pct., og at Royal Unibrews bryggeri er beliggende uden for Faxe by, hvilket er 12 km fra jeres øvrige forbrugere, vandværker og vandboringer, som er b</w:t>
      </w:r>
      <w:r w:rsidRPr="00166345">
        <w:t>e</w:t>
      </w:r>
      <w:r w:rsidRPr="00166345">
        <w:t>liggende i og omkring Haslev by. Som følge af bryggeriets beliggenhed er det meget omkostningstungt især i forhold til el omkostninger, at pumpe vandet til Faxe, hvilket er årsagen til, at jeres el omkostninger er steget markant fra 2015 til 2016. Samtidig har de øgede vandmængder også krævet ekstra vedligeholdelse mv., som samlet har kostet 340.710 kr. ekstra i 2016 i forhold til 2015.</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 xml:space="preserve">I har den 6. og 8. juni 2017 indsendt en nærmere detaljeret opgørelse over jeres produktions-/distributionsomkostninger for henholdsvis 2013, 2014, 2015 og 2016. </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lastRenderedPageBreak/>
        <w:t>Af de indsendte opgørelserne fremgår, at jeres samlede produktions-/distributionsomkostninger ek</w:t>
      </w:r>
      <w:r w:rsidR="00C779B4">
        <w:t>sklusive el omkostninger under Værker og Trykforøger &amp; højdebeholdere</w:t>
      </w:r>
      <w:r w:rsidRPr="00166345">
        <w:t xml:space="preserve"> er steget med 202.633,03 kr. fra 2015 til 2016, og at der i alt er otte omkostningsposter eksklusive el omkostni</w:t>
      </w:r>
      <w:r w:rsidRPr="00166345">
        <w:t>n</w:t>
      </w:r>
      <w:r w:rsidRPr="00166345">
        <w:t>ger, som er steget fra 2015 til 2016.</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I nedenstående tabel ses udviklingen over de otte poster for perioden 2013 til 2016.</w:t>
      </w:r>
    </w:p>
    <w:p w:rsidRPr="00166345" w:rsidR="00166345" w:rsidP="00166345" w:rsidRDefault="00166345">
      <w:pPr>
        <w:spacing w:line="240" w:lineRule="auto"/>
        <w:jc w:val="both"/>
      </w:pPr>
    </w:p>
    <w:p w:rsidRPr="005F1688" w:rsidR="00166345" w:rsidP="00166345" w:rsidRDefault="00166345">
      <w:pPr>
        <w:spacing w:line="240" w:lineRule="auto"/>
        <w:jc w:val="both"/>
        <w:rPr>
          <w:sz w:val="22"/>
        </w:rPr>
      </w:pPr>
      <w:r w:rsidRPr="005F1688">
        <w:rPr>
          <w:sz w:val="22"/>
        </w:rPr>
        <w:t>Tabel 3</w:t>
      </w:r>
      <w:r w:rsidRPr="005F1688" w:rsidR="005F1688">
        <w:rPr>
          <w:sz w:val="22"/>
        </w:rPr>
        <w:t>:</w:t>
      </w:r>
    </w:p>
    <w:tbl>
      <w:tblPr>
        <w:tblW w:w="7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1399"/>
        <w:gridCol w:w="1398"/>
        <w:gridCol w:w="1398"/>
        <w:gridCol w:w="1371"/>
      </w:tblGrid>
      <w:tr w:rsidRPr="005F1688" w:rsidR="00166345" w:rsidTr="005F1688">
        <w:trPr>
          <w:trHeight w:val="384"/>
        </w:trPr>
        <w:tc>
          <w:tcPr>
            <w:tcW w:w="1681" w:type="dxa"/>
            <w:shd w:val="clear" w:color="auto" w:fill="auto"/>
            <w:noWrap/>
            <w:hideMark/>
          </w:tcPr>
          <w:p w:rsidRPr="005F1688" w:rsidR="00166345" w:rsidP="00166345" w:rsidRDefault="00166345">
            <w:pPr>
              <w:spacing w:line="240" w:lineRule="auto"/>
              <w:jc w:val="both"/>
              <w:rPr>
                <w:b/>
                <w:sz w:val="22"/>
              </w:rPr>
            </w:pPr>
            <w:r w:rsidRPr="005F1688">
              <w:rPr>
                <w:b/>
                <w:sz w:val="22"/>
              </w:rPr>
              <w:t>Omkostninger i kr.</w:t>
            </w:r>
          </w:p>
        </w:tc>
        <w:tc>
          <w:tcPr>
            <w:tcW w:w="1399" w:type="dxa"/>
            <w:shd w:val="clear" w:color="auto" w:fill="auto"/>
            <w:noWrap/>
            <w:hideMark/>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2013</w:t>
            </w:r>
          </w:p>
        </w:tc>
        <w:tc>
          <w:tcPr>
            <w:tcW w:w="1398" w:type="dxa"/>
            <w:shd w:val="clear" w:color="auto" w:fill="auto"/>
            <w:noWrap/>
            <w:hideMark/>
          </w:tcPr>
          <w:p w:rsidRPr="005F1688" w:rsidR="00166345" w:rsidP="005F1688" w:rsidRDefault="00166345">
            <w:pPr>
              <w:spacing w:line="240" w:lineRule="auto"/>
              <w:jc w:val="right"/>
              <w:rPr>
                <w:b/>
                <w:sz w:val="22"/>
              </w:rPr>
            </w:pPr>
            <w:r w:rsidRPr="005F1688">
              <w:rPr>
                <w:b/>
                <w:sz w:val="22"/>
              </w:rPr>
              <w:t> </w:t>
            </w:r>
          </w:p>
          <w:p w:rsidRPr="005F1688" w:rsidR="00166345" w:rsidP="005F1688" w:rsidRDefault="00166345">
            <w:pPr>
              <w:spacing w:line="240" w:lineRule="auto"/>
              <w:jc w:val="right"/>
              <w:rPr>
                <w:b/>
                <w:sz w:val="22"/>
              </w:rPr>
            </w:pPr>
            <w:r w:rsidRPr="005F1688">
              <w:rPr>
                <w:b/>
                <w:sz w:val="22"/>
              </w:rPr>
              <w:t>2014</w:t>
            </w:r>
          </w:p>
        </w:tc>
        <w:tc>
          <w:tcPr>
            <w:tcW w:w="1398" w:type="dxa"/>
            <w:shd w:val="clear" w:color="auto" w:fill="auto"/>
            <w:noWrap/>
            <w:hideMark/>
          </w:tcPr>
          <w:p w:rsidRPr="005F1688" w:rsidR="00166345" w:rsidP="005F1688" w:rsidRDefault="00166345">
            <w:pPr>
              <w:spacing w:line="240" w:lineRule="auto"/>
              <w:jc w:val="right"/>
              <w:rPr>
                <w:b/>
                <w:sz w:val="22"/>
              </w:rPr>
            </w:pPr>
            <w:r w:rsidRPr="005F1688">
              <w:rPr>
                <w:b/>
                <w:sz w:val="22"/>
              </w:rPr>
              <w:t> </w:t>
            </w:r>
          </w:p>
          <w:p w:rsidRPr="005F1688" w:rsidR="00166345" w:rsidP="005F1688" w:rsidRDefault="00166345">
            <w:pPr>
              <w:spacing w:line="240" w:lineRule="auto"/>
              <w:jc w:val="right"/>
              <w:rPr>
                <w:b/>
                <w:sz w:val="22"/>
              </w:rPr>
            </w:pPr>
            <w:r w:rsidRPr="005F1688">
              <w:rPr>
                <w:b/>
                <w:sz w:val="22"/>
              </w:rPr>
              <w:t>2015</w:t>
            </w:r>
          </w:p>
        </w:tc>
        <w:tc>
          <w:tcPr>
            <w:tcW w:w="1320" w:type="dxa"/>
            <w:shd w:val="clear" w:color="auto" w:fill="auto"/>
            <w:noWrap/>
            <w:hideMark/>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2016</w:t>
            </w:r>
          </w:p>
        </w:tc>
      </w:tr>
      <w:tr w:rsidRPr="005F1688" w:rsidR="00166345" w:rsidTr="005F1688">
        <w:trPr>
          <w:trHeight w:val="558"/>
        </w:trPr>
        <w:tc>
          <w:tcPr>
            <w:tcW w:w="1681" w:type="dxa"/>
            <w:shd w:val="clear" w:color="auto" w:fill="auto"/>
            <w:noWrap/>
            <w:hideMark/>
          </w:tcPr>
          <w:p w:rsidRPr="005F1688" w:rsidR="00166345" w:rsidP="005F1688" w:rsidRDefault="00166345">
            <w:pPr>
              <w:spacing w:line="240" w:lineRule="auto"/>
              <w:rPr>
                <w:sz w:val="22"/>
              </w:rPr>
            </w:pPr>
            <w:r w:rsidRPr="005F1688">
              <w:rPr>
                <w:sz w:val="22"/>
              </w:rPr>
              <w:t>Vedligeh.af m</w:t>
            </w:r>
            <w:r w:rsidRPr="005F1688">
              <w:rPr>
                <w:sz w:val="22"/>
              </w:rPr>
              <w:t>a</w:t>
            </w:r>
            <w:r w:rsidRPr="005F1688">
              <w:rPr>
                <w:sz w:val="22"/>
              </w:rPr>
              <w:t>teriel mask/SRO</w:t>
            </w:r>
          </w:p>
        </w:tc>
        <w:tc>
          <w:tcPr>
            <w:tcW w:w="1399"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288.412,86</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286.992,05</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244.602,44</w:t>
            </w:r>
          </w:p>
        </w:tc>
        <w:tc>
          <w:tcPr>
            <w:tcW w:w="1320"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252.045,12</w:t>
            </w:r>
          </w:p>
        </w:tc>
      </w:tr>
      <w:tr w:rsidRPr="005F1688" w:rsidR="00166345" w:rsidTr="005F1688">
        <w:trPr>
          <w:trHeight w:val="300"/>
        </w:trPr>
        <w:tc>
          <w:tcPr>
            <w:tcW w:w="1681" w:type="dxa"/>
            <w:shd w:val="clear" w:color="auto" w:fill="auto"/>
            <w:noWrap/>
            <w:hideMark/>
          </w:tcPr>
          <w:p w:rsidRPr="005F1688" w:rsidR="00166345" w:rsidP="005F1688" w:rsidRDefault="00166345">
            <w:pPr>
              <w:spacing w:line="240" w:lineRule="auto"/>
              <w:rPr>
                <w:sz w:val="22"/>
              </w:rPr>
            </w:pPr>
            <w:r w:rsidRPr="005F1688">
              <w:rPr>
                <w:sz w:val="22"/>
              </w:rPr>
              <w:t>Driftskontrol og tilsyn</w:t>
            </w:r>
          </w:p>
        </w:tc>
        <w:tc>
          <w:tcPr>
            <w:tcW w:w="1399"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663.943,70</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r w:rsidRPr="005F1688">
              <w:rPr>
                <w:sz w:val="22"/>
              </w:rPr>
              <w:t>607.960,60</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r w:rsidRPr="005F1688">
              <w:rPr>
                <w:sz w:val="22"/>
              </w:rPr>
              <w:t>782.982,25</w:t>
            </w:r>
          </w:p>
        </w:tc>
        <w:tc>
          <w:tcPr>
            <w:tcW w:w="1320"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874.335,53</w:t>
            </w:r>
          </w:p>
        </w:tc>
      </w:tr>
      <w:tr w:rsidRPr="005F1688" w:rsidR="00166345" w:rsidTr="005F1688">
        <w:trPr>
          <w:trHeight w:val="300"/>
        </w:trPr>
        <w:tc>
          <w:tcPr>
            <w:tcW w:w="1681" w:type="dxa"/>
            <w:shd w:val="clear" w:color="auto" w:fill="auto"/>
            <w:noWrap/>
            <w:hideMark/>
          </w:tcPr>
          <w:p w:rsidRPr="005F1688" w:rsidR="005F1688" w:rsidP="005F1688" w:rsidRDefault="005F1688">
            <w:pPr>
              <w:spacing w:line="240" w:lineRule="auto"/>
              <w:rPr>
                <w:sz w:val="22"/>
              </w:rPr>
            </w:pPr>
            <w:r>
              <w:rPr>
                <w:sz w:val="22"/>
              </w:rPr>
              <w:t>Vand</w:t>
            </w:r>
          </w:p>
        </w:tc>
        <w:tc>
          <w:tcPr>
            <w:tcW w:w="1399" w:type="dxa"/>
            <w:shd w:val="clear" w:color="auto" w:fill="auto"/>
            <w:noWrap/>
            <w:hideMark/>
          </w:tcPr>
          <w:p w:rsidRPr="005F1688" w:rsidR="00166345" w:rsidP="005F1688" w:rsidRDefault="00166345">
            <w:pPr>
              <w:spacing w:line="240" w:lineRule="auto"/>
              <w:jc w:val="right"/>
              <w:rPr>
                <w:sz w:val="22"/>
              </w:rPr>
            </w:pPr>
            <w:r w:rsidRPr="005F1688">
              <w:rPr>
                <w:sz w:val="22"/>
              </w:rPr>
              <w:t> 4.004,32</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4.742,69</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4.786,24</w:t>
            </w:r>
          </w:p>
        </w:tc>
        <w:tc>
          <w:tcPr>
            <w:tcW w:w="1320" w:type="dxa"/>
            <w:shd w:val="clear" w:color="auto" w:fill="auto"/>
            <w:noWrap/>
            <w:hideMark/>
          </w:tcPr>
          <w:p w:rsidRPr="005F1688" w:rsidR="00166345" w:rsidP="005F1688" w:rsidRDefault="00166345">
            <w:pPr>
              <w:spacing w:line="240" w:lineRule="auto"/>
              <w:jc w:val="right"/>
              <w:rPr>
                <w:sz w:val="22"/>
              </w:rPr>
            </w:pPr>
            <w:r w:rsidRPr="005F1688">
              <w:rPr>
                <w:sz w:val="22"/>
              </w:rPr>
              <w:t>11.497,00</w:t>
            </w:r>
          </w:p>
        </w:tc>
      </w:tr>
      <w:tr w:rsidRPr="005F1688" w:rsidR="00166345" w:rsidTr="005F1688">
        <w:trPr>
          <w:trHeight w:val="300"/>
        </w:trPr>
        <w:tc>
          <w:tcPr>
            <w:tcW w:w="1681" w:type="dxa"/>
            <w:shd w:val="clear" w:color="auto" w:fill="auto"/>
            <w:noWrap/>
            <w:hideMark/>
          </w:tcPr>
          <w:p w:rsidRPr="005F1688" w:rsidR="00166345" w:rsidP="005F1688" w:rsidRDefault="00166345">
            <w:pPr>
              <w:spacing w:line="240" w:lineRule="auto"/>
              <w:rPr>
                <w:sz w:val="22"/>
              </w:rPr>
            </w:pPr>
            <w:r w:rsidRPr="005F1688">
              <w:rPr>
                <w:sz w:val="22"/>
              </w:rPr>
              <w:t>Rengøring i</w:t>
            </w:r>
            <w:r w:rsidRPr="005F1688">
              <w:rPr>
                <w:sz w:val="22"/>
              </w:rPr>
              <w:t>n</w:t>
            </w:r>
            <w:r w:rsidRPr="005F1688">
              <w:rPr>
                <w:sz w:val="22"/>
              </w:rPr>
              <w:t>terne timer</w:t>
            </w:r>
          </w:p>
        </w:tc>
        <w:tc>
          <w:tcPr>
            <w:tcW w:w="1399"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r w:rsidRPr="005F1688">
              <w:rPr>
                <w:sz w:val="22"/>
              </w:rPr>
              <w:t>111.071,89</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108.686,98</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109.861,29</w:t>
            </w:r>
          </w:p>
        </w:tc>
        <w:tc>
          <w:tcPr>
            <w:tcW w:w="1320"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123.513,65</w:t>
            </w:r>
          </w:p>
        </w:tc>
      </w:tr>
      <w:tr w:rsidRPr="005F1688" w:rsidR="00166345" w:rsidTr="005F1688">
        <w:trPr>
          <w:trHeight w:val="300"/>
        </w:trPr>
        <w:tc>
          <w:tcPr>
            <w:tcW w:w="1681" w:type="dxa"/>
            <w:shd w:val="clear" w:color="auto" w:fill="auto"/>
            <w:noWrap/>
            <w:hideMark/>
          </w:tcPr>
          <w:p w:rsidRPr="005F1688" w:rsidR="00166345" w:rsidP="005F1688" w:rsidRDefault="00166345">
            <w:pPr>
              <w:spacing w:line="240" w:lineRule="auto"/>
              <w:rPr>
                <w:sz w:val="22"/>
              </w:rPr>
            </w:pPr>
            <w:r w:rsidRPr="005F1688">
              <w:rPr>
                <w:sz w:val="22"/>
              </w:rPr>
              <w:t>Vedligeholdelse af arealer</w:t>
            </w:r>
          </w:p>
        </w:tc>
        <w:tc>
          <w:tcPr>
            <w:tcW w:w="1399"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53.964,58</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71.674,11</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48.894,35</w:t>
            </w:r>
          </w:p>
        </w:tc>
        <w:tc>
          <w:tcPr>
            <w:tcW w:w="1320"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111.158,65</w:t>
            </w:r>
          </w:p>
        </w:tc>
      </w:tr>
      <w:tr w:rsidRPr="005F1688" w:rsidR="00166345" w:rsidTr="005F1688">
        <w:trPr>
          <w:trHeight w:val="300"/>
        </w:trPr>
        <w:tc>
          <w:tcPr>
            <w:tcW w:w="1681" w:type="dxa"/>
            <w:shd w:val="clear" w:color="auto" w:fill="auto"/>
            <w:noWrap/>
            <w:hideMark/>
          </w:tcPr>
          <w:p w:rsidRPr="005F1688" w:rsidR="00166345" w:rsidP="005F1688" w:rsidRDefault="00166345">
            <w:pPr>
              <w:spacing w:line="240" w:lineRule="auto"/>
              <w:rPr>
                <w:sz w:val="22"/>
              </w:rPr>
            </w:pPr>
            <w:r w:rsidRPr="005F1688">
              <w:rPr>
                <w:sz w:val="22"/>
              </w:rPr>
              <w:t>Øvrige udgifter til vandværker</w:t>
            </w:r>
          </w:p>
        </w:tc>
        <w:tc>
          <w:tcPr>
            <w:tcW w:w="1399"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186.396,67</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48.722,14</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r w:rsidRPr="005F1688">
              <w:rPr>
                <w:sz w:val="22"/>
              </w:rPr>
              <w:t>76.858,75</w:t>
            </w:r>
          </w:p>
        </w:tc>
        <w:tc>
          <w:tcPr>
            <w:tcW w:w="1320"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99.048,59</w:t>
            </w:r>
          </w:p>
        </w:tc>
      </w:tr>
      <w:tr w:rsidRPr="005F1688" w:rsidR="00166345" w:rsidTr="005F1688">
        <w:trPr>
          <w:trHeight w:val="300"/>
        </w:trPr>
        <w:tc>
          <w:tcPr>
            <w:tcW w:w="1681" w:type="dxa"/>
            <w:shd w:val="clear" w:color="auto" w:fill="auto"/>
            <w:noWrap/>
            <w:hideMark/>
          </w:tcPr>
          <w:p w:rsidRPr="005F1688" w:rsidR="00166345" w:rsidP="005F1688" w:rsidRDefault="00166345">
            <w:pPr>
              <w:spacing w:line="240" w:lineRule="auto"/>
              <w:rPr>
                <w:sz w:val="22"/>
              </w:rPr>
            </w:pPr>
            <w:r w:rsidRPr="005F1688">
              <w:rPr>
                <w:sz w:val="22"/>
              </w:rPr>
              <w:t>Driftskontrol og tilsyn</w:t>
            </w:r>
          </w:p>
        </w:tc>
        <w:tc>
          <w:tcPr>
            <w:tcW w:w="1399"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31.986,75</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36.364,25</w:t>
            </w:r>
          </w:p>
        </w:tc>
        <w:tc>
          <w:tcPr>
            <w:tcW w:w="1398"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r w:rsidRPr="005F1688">
              <w:rPr>
                <w:sz w:val="22"/>
              </w:rPr>
              <w:t>44.334,25</w:t>
            </w:r>
          </w:p>
        </w:tc>
        <w:tc>
          <w:tcPr>
            <w:tcW w:w="1320"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62.492,90</w:t>
            </w:r>
          </w:p>
        </w:tc>
      </w:tr>
      <w:tr w:rsidRPr="005F1688" w:rsidR="00166345" w:rsidTr="005F1688">
        <w:trPr>
          <w:trHeight w:val="300"/>
        </w:trPr>
        <w:tc>
          <w:tcPr>
            <w:tcW w:w="1681" w:type="dxa"/>
            <w:shd w:val="clear" w:color="auto" w:fill="auto"/>
            <w:noWrap/>
            <w:hideMark/>
          </w:tcPr>
          <w:p w:rsidRPr="005F1688" w:rsidR="00166345" w:rsidP="005F1688" w:rsidRDefault="00166345">
            <w:pPr>
              <w:spacing w:line="240" w:lineRule="auto"/>
              <w:rPr>
                <w:sz w:val="22"/>
              </w:rPr>
            </w:pPr>
            <w:proofErr w:type="spellStart"/>
            <w:r w:rsidRPr="005F1688">
              <w:rPr>
                <w:sz w:val="22"/>
              </w:rPr>
              <w:t>Rep</w:t>
            </w:r>
            <w:proofErr w:type="spellEnd"/>
            <w:r w:rsidRPr="005F1688">
              <w:rPr>
                <w:sz w:val="22"/>
              </w:rPr>
              <w:t>. Vedlig</w:t>
            </w:r>
            <w:r w:rsidRPr="005F1688">
              <w:rPr>
                <w:sz w:val="22"/>
              </w:rPr>
              <w:t>e</w:t>
            </w:r>
            <w:r w:rsidRPr="005F1688">
              <w:rPr>
                <w:sz w:val="22"/>
              </w:rPr>
              <w:t>holdelse</w:t>
            </w:r>
          </w:p>
        </w:tc>
        <w:tc>
          <w:tcPr>
            <w:tcW w:w="1399"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175,27</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9.931,06</w:t>
            </w:r>
          </w:p>
        </w:tc>
        <w:tc>
          <w:tcPr>
            <w:tcW w:w="1398"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13.784,03</w:t>
            </w:r>
          </w:p>
        </w:tc>
        <w:tc>
          <w:tcPr>
            <w:tcW w:w="1320"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r w:rsidRPr="005F1688">
              <w:rPr>
                <w:sz w:val="22"/>
              </w:rPr>
              <w:t>43.609,80</w:t>
            </w:r>
          </w:p>
        </w:tc>
      </w:tr>
      <w:tr w:rsidRPr="005F1688" w:rsidR="00166345" w:rsidTr="005F1688">
        <w:trPr>
          <w:trHeight w:val="300"/>
        </w:trPr>
        <w:tc>
          <w:tcPr>
            <w:tcW w:w="1681" w:type="dxa"/>
            <w:shd w:val="clear" w:color="auto" w:fill="auto"/>
            <w:noWrap/>
          </w:tcPr>
          <w:p w:rsidRPr="005F1688" w:rsidR="00166345" w:rsidP="005F1688" w:rsidRDefault="00166345">
            <w:pPr>
              <w:spacing w:line="240" w:lineRule="auto"/>
              <w:rPr>
                <w:b/>
                <w:sz w:val="22"/>
              </w:rPr>
            </w:pPr>
            <w:r w:rsidRPr="005F1688">
              <w:rPr>
                <w:b/>
                <w:sz w:val="22"/>
              </w:rPr>
              <w:t>Samlede o</w:t>
            </w:r>
            <w:r w:rsidRPr="005F1688">
              <w:rPr>
                <w:b/>
                <w:sz w:val="22"/>
              </w:rPr>
              <w:t>m</w:t>
            </w:r>
            <w:r w:rsidRPr="005F1688">
              <w:rPr>
                <w:b/>
                <w:sz w:val="22"/>
              </w:rPr>
              <w:t>kostninger</w:t>
            </w:r>
          </w:p>
        </w:tc>
        <w:tc>
          <w:tcPr>
            <w:tcW w:w="1399" w:type="dxa"/>
            <w:shd w:val="clear" w:color="auto" w:fill="auto"/>
            <w:noWrap/>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1.339.956,04</w:t>
            </w:r>
          </w:p>
        </w:tc>
        <w:tc>
          <w:tcPr>
            <w:tcW w:w="1398" w:type="dxa"/>
            <w:shd w:val="clear" w:color="auto" w:fill="auto"/>
            <w:noWrap/>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1.175.073,88</w:t>
            </w:r>
          </w:p>
        </w:tc>
        <w:tc>
          <w:tcPr>
            <w:tcW w:w="1398" w:type="dxa"/>
            <w:shd w:val="clear" w:color="auto" w:fill="auto"/>
            <w:noWrap/>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1.326.103,60</w:t>
            </w:r>
          </w:p>
        </w:tc>
        <w:tc>
          <w:tcPr>
            <w:tcW w:w="1320" w:type="dxa"/>
            <w:shd w:val="clear" w:color="auto" w:fill="auto"/>
            <w:noWrap/>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1.577.701,24</w:t>
            </w:r>
          </w:p>
        </w:tc>
      </w:tr>
    </w:tbl>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 xml:space="preserve">I har i e-mail af </w:t>
      </w:r>
      <w:r w:rsidR="00C779B4">
        <w:t>8. juni 2017 oplyst, at posten Vand</w:t>
      </w:r>
      <w:r w:rsidRPr="00166345">
        <w:t xml:space="preserve"> dækker over vand- og spildevandsforbrug på jeres vandværker samt udgifte</w:t>
      </w:r>
      <w:r w:rsidR="00C779B4">
        <w:t>r til renovation, og at posten Øvrige udgifter til vandværker</w:t>
      </w:r>
      <w:r w:rsidRPr="00166345">
        <w:t xml:space="preserve"> dækker over omkostninger som ikke passer på andre konti, eksempelvis reparation af hegn ved vandværk, alarm og små indkøb. Hertil har </w:t>
      </w:r>
      <w:r w:rsidR="00C779B4">
        <w:t>I</w:t>
      </w:r>
      <w:r w:rsidRPr="00166345">
        <w:t xml:space="preserve"> endvidere oplyst, at årsagen til at omkostningen 2013 ligger næsten 100.000 kr. højere er, at beløbet i dette år også dækker over omkostninger til deklarationer og skødeskri</w:t>
      </w:r>
      <w:r w:rsidRPr="00166345">
        <w:t>v</w:t>
      </w:r>
      <w:r w:rsidRPr="00166345">
        <w:t>ning.</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På baggrund af sagens oplysninger, herunder hvilke typer af omkos</w:t>
      </w:r>
      <w:r w:rsidRPr="00166345">
        <w:t>t</w:t>
      </w:r>
      <w:r w:rsidRPr="00166345">
        <w:t>ningsposter, det er, der er steget fra 2015 til 2016 samt omkostningsu</w:t>
      </w:r>
      <w:r w:rsidRPr="00166345">
        <w:t>d</w:t>
      </w:r>
      <w:r w:rsidRPr="00166345">
        <w:t>viklingen for de enkelte poster, er det vores vurdering, at det ikke kan anses for godtgjort, at den samlede forøgelse af jeres produktions-/distributionsomkostninger eksklusive el på 202.633 kr. er en følge af forøgelsen af jeres håndterede vandmængder.</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Af de indsendte opgørelserne fremgår endvidere, at jeres el omkostni</w:t>
      </w:r>
      <w:r w:rsidRPr="00166345">
        <w:t>n</w:t>
      </w:r>
      <w:r w:rsidRPr="00166345">
        <w:t>ger samlet er steget med 138.077 kr. fra 2015 til 2016.</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lastRenderedPageBreak/>
        <w:t>I nedenstående tabel ses udviklingen i jeres el omkostningerne fra 2013 til 2016:</w:t>
      </w:r>
    </w:p>
    <w:p w:rsidRPr="00166345" w:rsidR="00166345" w:rsidP="00166345" w:rsidRDefault="00166345">
      <w:pPr>
        <w:spacing w:line="240" w:lineRule="auto"/>
        <w:jc w:val="both"/>
      </w:pPr>
    </w:p>
    <w:p w:rsidRPr="005F1688" w:rsidR="00166345" w:rsidP="00166345" w:rsidRDefault="00166345">
      <w:pPr>
        <w:spacing w:line="240" w:lineRule="auto"/>
        <w:jc w:val="both"/>
        <w:rPr>
          <w:sz w:val="22"/>
        </w:rPr>
      </w:pPr>
      <w:r w:rsidRPr="005F1688">
        <w:rPr>
          <w:sz w:val="22"/>
        </w:rPr>
        <w:t>Tabel 4</w:t>
      </w:r>
      <w:r w:rsidRPr="005F1688" w:rsidR="005F1688">
        <w:rPr>
          <w:sz w:val="22"/>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1261"/>
        <w:gridCol w:w="1261"/>
        <w:gridCol w:w="1261"/>
        <w:gridCol w:w="1261"/>
      </w:tblGrid>
      <w:tr w:rsidRPr="005F1688" w:rsidR="00166345" w:rsidTr="005F1688">
        <w:trPr>
          <w:trHeight w:val="300"/>
        </w:trPr>
        <w:tc>
          <w:tcPr>
            <w:tcW w:w="1670" w:type="dxa"/>
            <w:shd w:val="clear" w:color="auto" w:fill="auto"/>
            <w:noWrap/>
            <w:hideMark/>
          </w:tcPr>
          <w:p w:rsidRPr="005F1688" w:rsidR="00166345" w:rsidP="00166345" w:rsidRDefault="00166345">
            <w:pPr>
              <w:spacing w:line="240" w:lineRule="auto"/>
              <w:jc w:val="both"/>
              <w:rPr>
                <w:b/>
                <w:sz w:val="22"/>
              </w:rPr>
            </w:pPr>
            <w:r w:rsidRPr="005F1688">
              <w:rPr>
                <w:b/>
                <w:sz w:val="22"/>
              </w:rPr>
              <w:t>Omkostninger i kr.</w:t>
            </w:r>
          </w:p>
        </w:tc>
        <w:tc>
          <w:tcPr>
            <w:tcW w:w="1261" w:type="dxa"/>
            <w:shd w:val="clear" w:color="auto" w:fill="auto"/>
            <w:noWrap/>
            <w:hideMark/>
          </w:tcPr>
          <w:p w:rsidRPr="005F1688" w:rsidR="00166345" w:rsidP="00166345" w:rsidRDefault="00166345">
            <w:pPr>
              <w:spacing w:line="240" w:lineRule="auto"/>
              <w:jc w:val="both"/>
              <w:rPr>
                <w:b/>
                <w:sz w:val="22"/>
              </w:rPr>
            </w:pPr>
            <w:r w:rsidRPr="005F1688">
              <w:rPr>
                <w:b/>
                <w:sz w:val="22"/>
              </w:rPr>
              <w:t> </w:t>
            </w:r>
          </w:p>
          <w:p w:rsidRPr="005F1688" w:rsidR="00166345" w:rsidP="00166345" w:rsidRDefault="00166345">
            <w:pPr>
              <w:spacing w:line="240" w:lineRule="auto"/>
              <w:jc w:val="both"/>
              <w:rPr>
                <w:b/>
                <w:sz w:val="22"/>
              </w:rPr>
            </w:pPr>
            <w:r w:rsidRPr="005F1688">
              <w:rPr>
                <w:b/>
                <w:sz w:val="22"/>
              </w:rPr>
              <w:t>2013</w:t>
            </w:r>
          </w:p>
        </w:tc>
        <w:tc>
          <w:tcPr>
            <w:tcW w:w="1261" w:type="dxa"/>
            <w:shd w:val="clear" w:color="auto" w:fill="auto"/>
            <w:noWrap/>
            <w:hideMark/>
          </w:tcPr>
          <w:p w:rsidRPr="005F1688" w:rsidR="00166345" w:rsidP="00166345" w:rsidRDefault="00166345">
            <w:pPr>
              <w:spacing w:line="240" w:lineRule="auto"/>
              <w:jc w:val="both"/>
              <w:rPr>
                <w:b/>
                <w:sz w:val="22"/>
              </w:rPr>
            </w:pPr>
          </w:p>
          <w:p w:rsidRPr="005F1688" w:rsidR="00166345" w:rsidP="00166345" w:rsidRDefault="00166345">
            <w:pPr>
              <w:spacing w:line="240" w:lineRule="auto"/>
              <w:jc w:val="both"/>
              <w:rPr>
                <w:b/>
                <w:sz w:val="22"/>
              </w:rPr>
            </w:pPr>
            <w:r w:rsidRPr="005F1688">
              <w:rPr>
                <w:b/>
                <w:sz w:val="22"/>
              </w:rPr>
              <w:t>2014</w:t>
            </w:r>
          </w:p>
        </w:tc>
        <w:tc>
          <w:tcPr>
            <w:tcW w:w="1261" w:type="dxa"/>
            <w:shd w:val="clear" w:color="auto" w:fill="auto"/>
            <w:noWrap/>
            <w:hideMark/>
          </w:tcPr>
          <w:p w:rsidRPr="005F1688" w:rsidR="00166345" w:rsidP="00166345" w:rsidRDefault="00166345">
            <w:pPr>
              <w:spacing w:line="240" w:lineRule="auto"/>
              <w:jc w:val="both"/>
              <w:rPr>
                <w:b/>
                <w:sz w:val="22"/>
              </w:rPr>
            </w:pPr>
          </w:p>
          <w:p w:rsidRPr="005F1688" w:rsidR="00166345" w:rsidP="00166345" w:rsidRDefault="00166345">
            <w:pPr>
              <w:spacing w:line="240" w:lineRule="auto"/>
              <w:jc w:val="both"/>
              <w:rPr>
                <w:b/>
                <w:sz w:val="22"/>
              </w:rPr>
            </w:pPr>
            <w:r w:rsidRPr="005F1688">
              <w:rPr>
                <w:b/>
                <w:sz w:val="22"/>
              </w:rPr>
              <w:t>2015</w:t>
            </w:r>
          </w:p>
        </w:tc>
        <w:tc>
          <w:tcPr>
            <w:tcW w:w="1261" w:type="dxa"/>
            <w:shd w:val="clear" w:color="auto" w:fill="auto"/>
            <w:noWrap/>
            <w:hideMark/>
          </w:tcPr>
          <w:p w:rsidRPr="005F1688" w:rsidR="00166345" w:rsidP="00166345" w:rsidRDefault="00166345">
            <w:pPr>
              <w:spacing w:line="240" w:lineRule="auto"/>
              <w:jc w:val="both"/>
              <w:rPr>
                <w:b/>
                <w:sz w:val="22"/>
              </w:rPr>
            </w:pPr>
          </w:p>
          <w:p w:rsidRPr="005F1688" w:rsidR="00166345" w:rsidP="00166345" w:rsidRDefault="00166345">
            <w:pPr>
              <w:spacing w:line="240" w:lineRule="auto"/>
              <w:jc w:val="both"/>
              <w:rPr>
                <w:b/>
                <w:sz w:val="22"/>
              </w:rPr>
            </w:pPr>
            <w:r w:rsidRPr="005F1688">
              <w:rPr>
                <w:b/>
                <w:sz w:val="22"/>
              </w:rPr>
              <w:t>2016</w:t>
            </w:r>
          </w:p>
        </w:tc>
      </w:tr>
      <w:tr w:rsidRPr="005F1688" w:rsidR="00166345" w:rsidTr="005F1688">
        <w:trPr>
          <w:trHeight w:val="300"/>
        </w:trPr>
        <w:tc>
          <w:tcPr>
            <w:tcW w:w="1670" w:type="dxa"/>
            <w:shd w:val="clear" w:color="auto" w:fill="auto"/>
            <w:noWrap/>
            <w:hideMark/>
          </w:tcPr>
          <w:p w:rsidRPr="005F1688" w:rsidR="00166345" w:rsidP="005F1688" w:rsidRDefault="00166345">
            <w:pPr>
              <w:spacing w:line="240" w:lineRule="auto"/>
              <w:rPr>
                <w:sz w:val="22"/>
              </w:rPr>
            </w:pPr>
            <w:r w:rsidRPr="005F1688">
              <w:rPr>
                <w:sz w:val="22"/>
              </w:rPr>
              <w:t> ”Værker” El</w:t>
            </w:r>
          </w:p>
        </w:tc>
        <w:tc>
          <w:tcPr>
            <w:tcW w:w="1261" w:type="dxa"/>
            <w:shd w:val="clear" w:color="auto" w:fill="auto"/>
            <w:noWrap/>
            <w:hideMark/>
          </w:tcPr>
          <w:p w:rsidRPr="005F1688" w:rsidR="00166345" w:rsidP="005F1688" w:rsidRDefault="00166345">
            <w:pPr>
              <w:spacing w:line="240" w:lineRule="auto"/>
              <w:jc w:val="right"/>
              <w:rPr>
                <w:sz w:val="22"/>
              </w:rPr>
            </w:pPr>
            <w:r w:rsidRPr="005F1688">
              <w:rPr>
                <w:sz w:val="22"/>
              </w:rPr>
              <w:t> 751.783,27</w:t>
            </w:r>
          </w:p>
        </w:tc>
        <w:tc>
          <w:tcPr>
            <w:tcW w:w="1261" w:type="dxa"/>
            <w:shd w:val="clear" w:color="auto" w:fill="auto"/>
            <w:noWrap/>
            <w:hideMark/>
          </w:tcPr>
          <w:p w:rsidRPr="005F1688" w:rsidR="00166345" w:rsidP="005F1688" w:rsidRDefault="00166345">
            <w:pPr>
              <w:spacing w:line="240" w:lineRule="auto"/>
              <w:jc w:val="right"/>
              <w:rPr>
                <w:sz w:val="22"/>
              </w:rPr>
            </w:pPr>
            <w:r w:rsidRPr="005F1688">
              <w:rPr>
                <w:sz w:val="22"/>
              </w:rPr>
              <w:t> 651.117,49</w:t>
            </w:r>
          </w:p>
        </w:tc>
        <w:tc>
          <w:tcPr>
            <w:tcW w:w="1261" w:type="dxa"/>
            <w:shd w:val="clear" w:color="auto" w:fill="auto"/>
            <w:noWrap/>
            <w:hideMark/>
          </w:tcPr>
          <w:p w:rsidRPr="005F1688" w:rsidR="00166345" w:rsidP="005F1688" w:rsidRDefault="00166345">
            <w:pPr>
              <w:spacing w:line="240" w:lineRule="auto"/>
              <w:jc w:val="right"/>
              <w:rPr>
                <w:sz w:val="22"/>
              </w:rPr>
            </w:pPr>
            <w:r w:rsidRPr="005F1688">
              <w:rPr>
                <w:sz w:val="22"/>
              </w:rPr>
              <w:t> 615.500,37</w:t>
            </w:r>
          </w:p>
        </w:tc>
        <w:tc>
          <w:tcPr>
            <w:tcW w:w="1261" w:type="dxa"/>
            <w:shd w:val="clear" w:color="auto" w:fill="auto"/>
            <w:noWrap/>
            <w:hideMark/>
          </w:tcPr>
          <w:p w:rsidRPr="005F1688" w:rsidR="00166345" w:rsidP="005F1688" w:rsidRDefault="00166345">
            <w:pPr>
              <w:spacing w:line="240" w:lineRule="auto"/>
              <w:jc w:val="right"/>
              <w:rPr>
                <w:sz w:val="22"/>
              </w:rPr>
            </w:pPr>
            <w:r w:rsidRPr="005F1688">
              <w:rPr>
                <w:sz w:val="22"/>
              </w:rPr>
              <w:t> 758.995,12</w:t>
            </w:r>
          </w:p>
        </w:tc>
      </w:tr>
      <w:tr w:rsidRPr="005F1688" w:rsidR="00166345" w:rsidTr="005F1688">
        <w:trPr>
          <w:trHeight w:val="300"/>
        </w:trPr>
        <w:tc>
          <w:tcPr>
            <w:tcW w:w="1670" w:type="dxa"/>
            <w:shd w:val="clear" w:color="auto" w:fill="auto"/>
            <w:noWrap/>
            <w:hideMark/>
          </w:tcPr>
          <w:p w:rsidRPr="005F1688" w:rsidR="00166345" w:rsidP="005F1688" w:rsidRDefault="00166345">
            <w:pPr>
              <w:spacing w:line="240" w:lineRule="auto"/>
              <w:rPr>
                <w:sz w:val="22"/>
              </w:rPr>
            </w:pPr>
            <w:r w:rsidRPr="005F1688">
              <w:rPr>
                <w:sz w:val="22"/>
              </w:rPr>
              <w:t> ”Trykforøger &amp; højdebeholdere” El</w:t>
            </w:r>
          </w:p>
        </w:tc>
        <w:tc>
          <w:tcPr>
            <w:tcW w:w="1261"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43.172,29</w:t>
            </w:r>
          </w:p>
        </w:tc>
        <w:tc>
          <w:tcPr>
            <w:tcW w:w="1261"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45.860,26</w:t>
            </w:r>
          </w:p>
        </w:tc>
        <w:tc>
          <w:tcPr>
            <w:tcW w:w="1261" w:type="dxa"/>
            <w:shd w:val="clear" w:color="auto" w:fill="auto"/>
            <w:noWrap/>
            <w:hideMark/>
          </w:tcPr>
          <w:p w:rsidRPr="005F1688" w:rsidR="00166345" w:rsidP="005F1688" w:rsidRDefault="00166345">
            <w:pPr>
              <w:spacing w:line="240" w:lineRule="auto"/>
              <w:jc w:val="right"/>
              <w:rPr>
                <w:sz w:val="22"/>
              </w:rPr>
            </w:pPr>
            <w:r w:rsidRPr="005F1688">
              <w:rPr>
                <w:sz w:val="22"/>
              </w:rPr>
              <w:t> </w:t>
            </w: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74.817,94</w:t>
            </w:r>
          </w:p>
        </w:tc>
        <w:tc>
          <w:tcPr>
            <w:tcW w:w="1261" w:type="dxa"/>
            <w:shd w:val="clear" w:color="auto" w:fill="auto"/>
            <w:noWrap/>
            <w:hideMark/>
          </w:tcPr>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p>
          <w:p w:rsidRPr="005F1688" w:rsidR="00166345" w:rsidP="005F1688" w:rsidRDefault="00166345">
            <w:pPr>
              <w:spacing w:line="240" w:lineRule="auto"/>
              <w:jc w:val="right"/>
              <w:rPr>
                <w:sz w:val="22"/>
              </w:rPr>
            </w:pPr>
            <w:r w:rsidRPr="005F1688">
              <w:rPr>
                <w:sz w:val="22"/>
              </w:rPr>
              <w:t> 69.400,50</w:t>
            </w:r>
          </w:p>
        </w:tc>
      </w:tr>
      <w:tr w:rsidRPr="005F1688" w:rsidR="00166345" w:rsidTr="005F1688">
        <w:trPr>
          <w:trHeight w:val="300"/>
        </w:trPr>
        <w:tc>
          <w:tcPr>
            <w:tcW w:w="1670" w:type="dxa"/>
            <w:shd w:val="clear" w:color="auto" w:fill="auto"/>
            <w:noWrap/>
            <w:hideMark/>
          </w:tcPr>
          <w:p w:rsidRPr="005F1688" w:rsidR="00166345" w:rsidP="005F1688" w:rsidRDefault="00166345">
            <w:pPr>
              <w:spacing w:line="240" w:lineRule="auto"/>
              <w:rPr>
                <w:b/>
                <w:sz w:val="22"/>
              </w:rPr>
            </w:pPr>
            <w:r w:rsidRPr="005F1688">
              <w:rPr>
                <w:b/>
                <w:sz w:val="22"/>
              </w:rPr>
              <w:t>Omkostninger i alt</w:t>
            </w:r>
          </w:p>
        </w:tc>
        <w:tc>
          <w:tcPr>
            <w:tcW w:w="1261" w:type="dxa"/>
            <w:shd w:val="clear" w:color="auto" w:fill="auto"/>
            <w:noWrap/>
            <w:hideMark/>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794.955,56</w:t>
            </w:r>
          </w:p>
        </w:tc>
        <w:tc>
          <w:tcPr>
            <w:tcW w:w="1261" w:type="dxa"/>
            <w:shd w:val="clear" w:color="auto" w:fill="auto"/>
            <w:noWrap/>
            <w:hideMark/>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696.977,75</w:t>
            </w:r>
          </w:p>
        </w:tc>
        <w:tc>
          <w:tcPr>
            <w:tcW w:w="1261" w:type="dxa"/>
            <w:shd w:val="clear" w:color="auto" w:fill="auto"/>
            <w:noWrap/>
            <w:hideMark/>
          </w:tcPr>
          <w:p w:rsidRPr="005F1688" w:rsidR="00166345" w:rsidP="005F1688" w:rsidRDefault="00166345">
            <w:pPr>
              <w:spacing w:line="240" w:lineRule="auto"/>
              <w:jc w:val="right"/>
              <w:rPr>
                <w:b/>
                <w:sz w:val="22"/>
              </w:rPr>
            </w:pPr>
          </w:p>
          <w:p w:rsidRPr="005F1688" w:rsidR="00166345" w:rsidP="00491AC8" w:rsidRDefault="00166345">
            <w:pPr>
              <w:spacing w:line="240" w:lineRule="auto"/>
              <w:jc w:val="right"/>
              <w:rPr>
                <w:b/>
                <w:sz w:val="22"/>
              </w:rPr>
            </w:pPr>
            <w:r w:rsidRPr="005F1688">
              <w:rPr>
                <w:b/>
                <w:sz w:val="22"/>
              </w:rPr>
              <w:t>690.318</w:t>
            </w:r>
            <w:r w:rsidR="00491AC8">
              <w:rPr>
                <w:b/>
                <w:sz w:val="22"/>
              </w:rPr>
              <w:t>,</w:t>
            </w:r>
            <w:r w:rsidRPr="005F1688">
              <w:rPr>
                <w:b/>
                <w:sz w:val="22"/>
              </w:rPr>
              <w:t>31</w:t>
            </w:r>
          </w:p>
        </w:tc>
        <w:tc>
          <w:tcPr>
            <w:tcW w:w="1261" w:type="dxa"/>
            <w:shd w:val="clear" w:color="auto" w:fill="auto"/>
            <w:noWrap/>
            <w:hideMark/>
          </w:tcPr>
          <w:p w:rsidRPr="005F1688" w:rsidR="00166345" w:rsidP="005F1688" w:rsidRDefault="00166345">
            <w:pPr>
              <w:spacing w:line="240" w:lineRule="auto"/>
              <w:jc w:val="right"/>
              <w:rPr>
                <w:b/>
                <w:sz w:val="22"/>
              </w:rPr>
            </w:pPr>
          </w:p>
          <w:p w:rsidRPr="005F1688" w:rsidR="00166345" w:rsidP="005F1688" w:rsidRDefault="00166345">
            <w:pPr>
              <w:spacing w:line="240" w:lineRule="auto"/>
              <w:jc w:val="right"/>
              <w:rPr>
                <w:b/>
                <w:sz w:val="22"/>
              </w:rPr>
            </w:pPr>
            <w:r w:rsidRPr="005F1688">
              <w:rPr>
                <w:b/>
                <w:sz w:val="22"/>
              </w:rPr>
              <w:t>828.395,62</w:t>
            </w:r>
          </w:p>
        </w:tc>
      </w:tr>
    </w:tbl>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I e-mail af 8. juni 2017 har I oplyst, at forskellen på jeres el omkostni</w:t>
      </w:r>
      <w:r w:rsidRPr="00166345">
        <w:t>n</w:t>
      </w:r>
      <w:r w:rsidR="00C779B4">
        <w:t>ger under Værker</w:t>
      </w:r>
      <w:r w:rsidRPr="00166345">
        <w:t xml:space="preserve"> </w:t>
      </w:r>
      <w:r w:rsidR="00C779B4">
        <w:t xml:space="preserve">og jeres el omkostninger under </w:t>
      </w:r>
      <w:r w:rsidRPr="00166345">
        <w:t>Trykforøger &amp; højd</w:t>
      </w:r>
      <w:r w:rsidRPr="00166345">
        <w:t>e</w:t>
      </w:r>
      <w:r w:rsidR="00C779B4">
        <w:t>beholdere er, at el omkostninger under Værker</w:t>
      </w:r>
      <w:r w:rsidRPr="00166345">
        <w:t xml:space="preserve"> dækker over elforbrug til </w:t>
      </w:r>
      <w:proofErr w:type="spellStart"/>
      <w:r w:rsidRPr="00166345">
        <w:t>oppumpning</w:t>
      </w:r>
      <w:proofErr w:type="spellEnd"/>
      <w:r w:rsidRPr="00166345">
        <w:t xml:space="preserve"> og transport af vand fra kildepladser til vandværk, behan</w:t>
      </w:r>
      <w:r w:rsidRPr="00166345">
        <w:t>d</w:t>
      </w:r>
      <w:r w:rsidRPr="00166345">
        <w:t>ling på vandværk og udpumpning af vand fra værker og til distribution</w:t>
      </w:r>
      <w:r w:rsidRPr="00166345">
        <w:t>s</w:t>
      </w:r>
      <w:r w:rsidRPr="00166345">
        <w:t>net/højdebehol</w:t>
      </w:r>
      <w:r w:rsidR="00C779B4">
        <w:t xml:space="preserve">der, og at el omkostninger til </w:t>
      </w:r>
      <w:r w:rsidRPr="00166345">
        <w:t>Trykforøger &amp; højdebeho</w:t>
      </w:r>
      <w:r w:rsidRPr="00166345">
        <w:t>l</w:t>
      </w:r>
      <w:r w:rsidR="00C779B4">
        <w:t>dere</w:t>
      </w:r>
      <w:r w:rsidRPr="00166345">
        <w:t xml:space="preserve"> er til at opretholde trykket i ledningsnettet.</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Af Energitilsynets hjemmeside fremgår det, at elpriserne i 2013 var v</w:t>
      </w:r>
      <w:r w:rsidRPr="00166345">
        <w:t>æ</w:t>
      </w:r>
      <w:r w:rsidRPr="00166345">
        <w:t>sentlig højere end i 2015, og at elpriserne i 2014 mindre end i 2013 men højere end elpriserne i 2015</w:t>
      </w:r>
      <w:r w:rsidRPr="00166345">
        <w:rPr>
          <w:vertAlign w:val="superscript"/>
        </w:rPr>
        <w:footnoteReference w:id="1"/>
      </w:r>
      <w:r w:rsidRPr="00166345">
        <w:t>.</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Henset hertil samt at I har godtgjort, at der er sket en forøgelse af jeres håndterede vandmængder fra 2015 til 2016 på ca. 6,3 pct. sammenholdt m</w:t>
      </w:r>
      <w:r w:rsidR="00C779B4">
        <w:t>ed at jeres el omkostninger på Værker</w:t>
      </w:r>
      <w:r w:rsidRPr="00166345">
        <w:t xml:space="preserve"> i samme periode er forøget med 23,3 pct. er det vores vurdering, at det kan anses for godtgjort, at der er sket en stigning af jeres el omkostninger fra 2015 til 2016 som følge af forøgelsen af jeres håndterede vandmængder.</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Jeres samlede gennemsnitslige el omkostninger for perioden 2013 til 2015 udgør 727.417,20 kr., hvilket beløb er indeholdt I de samlede driftsomkostninger i jeres grundlag for de økonomiske rammer for 2017 og 2018. Set i forhold til jeres samlede el omkostninger i 2016 er dette en stigning på 100.978,42 kr. (828.395, 62 kr. – 727.417,20 kr.).</w:t>
      </w:r>
    </w:p>
    <w:p w:rsidRPr="00166345" w:rsidR="00166345" w:rsidP="00166345" w:rsidRDefault="00166345">
      <w:pPr>
        <w:spacing w:line="240" w:lineRule="auto"/>
        <w:jc w:val="both"/>
      </w:pPr>
    </w:p>
    <w:p w:rsidRPr="00166345" w:rsidR="00166345" w:rsidP="00166345" w:rsidRDefault="00166345">
      <w:pPr>
        <w:spacing w:line="240" w:lineRule="auto"/>
        <w:jc w:val="both"/>
        <w:rPr>
          <w:b/>
          <w:i/>
        </w:rPr>
      </w:pPr>
      <w:r w:rsidRPr="00166345">
        <w:rPr>
          <w:b/>
          <w:i/>
        </w:rPr>
        <w:t>Væsentlig forøgelse af drifts- eller anlægsomkostninger</w:t>
      </w:r>
    </w:p>
    <w:p w:rsidRPr="00166345" w:rsidR="00166345" w:rsidP="00166345" w:rsidRDefault="00166345">
      <w:pPr>
        <w:spacing w:line="240" w:lineRule="auto"/>
        <w:jc w:val="both"/>
      </w:pPr>
      <w:r w:rsidRPr="00166345">
        <w:t>Det er endvidere en betingelse, at forøgelse af jeres årlige drifts- eller a</w:t>
      </w:r>
      <w:r w:rsidRPr="00166345">
        <w:t>n</w:t>
      </w:r>
      <w:r w:rsidRPr="00166345">
        <w:t>lægsomkostninger som følge af udvidelse af jeres håndterede van</w:t>
      </w:r>
      <w:r w:rsidRPr="00166345">
        <w:t>d</w:t>
      </w:r>
      <w:r w:rsidRPr="00166345">
        <w:t>mængder er væsentligt set i forhold til jeres samlede årlige drifts- eller anlægsomkostninger.</w:t>
      </w:r>
    </w:p>
    <w:p w:rsidRPr="00166345" w:rsidR="00166345" w:rsidP="00166345" w:rsidRDefault="00166345">
      <w:pPr>
        <w:spacing w:line="240" w:lineRule="auto"/>
        <w:jc w:val="both"/>
      </w:pPr>
    </w:p>
    <w:p w:rsidRPr="00166345" w:rsidR="00166345" w:rsidP="00166345" w:rsidRDefault="00166345">
      <w:pPr>
        <w:spacing w:line="240" w:lineRule="auto"/>
        <w:jc w:val="both"/>
      </w:pPr>
      <w:r w:rsidRPr="00166345">
        <w:t>Det fremgår af jeres prisloft for 2016, at jeres samlede årlige driftso</w:t>
      </w:r>
      <w:r w:rsidRPr="00166345">
        <w:t>m</w:t>
      </w:r>
      <w:r w:rsidR="00B75404">
        <w:t>kostninger var</w:t>
      </w:r>
      <w:r w:rsidRPr="00166345">
        <w:t xml:space="preserve"> 5.808.310 kr., og at jeres driftsomkostninger i jeres øk</w:t>
      </w:r>
      <w:r w:rsidRPr="00166345">
        <w:t>o</w:t>
      </w:r>
      <w:r w:rsidRPr="00166345">
        <w:t xml:space="preserve">nomiske ramme for 2017 er 5.811.757 kr. </w:t>
      </w:r>
    </w:p>
    <w:p w:rsidR="00166345" w:rsidP="00166345" w:rsidRDefault="00166345">
      <w:pPr>
        <w:spacing w:line="240" w:lineRule="auto"/>
        <w:jc w:val="both"/>
      </w:pPr>
    </w:p>
    <w:p w:rsidR="00C921F1" w:rsidP="00166345" w:rsidRDefault="00C921F1">
      <w:pPr>
        <w:spacing w:line="240" w:lineRule="auto"/>
        <w:jc w:val="both"/>
      </w:pPr>
      <w:r>
        <w:lastRenderedPageBreak/>
        <w:t>I har oplyst, at jeres faktiske årlige driftsomkostninger i 2016 var 5.191.567 kr.</w:t>
      </w:r>
    </w:p>
    <w:p w:rsidRPr="00166345" w:rsidR="00C921F1" w:rsidP="00166345" w:rsidRDefault="00C921F1">
      <w:pPr>
        <w:spacing w:line="240" w:lineRule="auto"/>
        <w:jc w:val="both"/>
      </w:pPr>
    </w:p>
    <w:p w:rsidR="00166345" w:rsidP="00166345" w:rsidRDefault="00166345">
      <w:pPr>
        <w:spacing w:line="240" w:lineRule="auto"/>
        <w:jc w:val="both"/>
      </w:pPr>
      <w:r w:rsidRPr="00166345">
        <w:t>Set i forhold til ovenfor nævnte stigning i jeres el omkostninger på 100.978,42 kr. er dette en procentvis forøgelse på ca. 1,7 pct. i forhold til jeres årlige dr</w:t>
      </w:r>
      <w:r w:rsidR="00C921F1">
        <w:t xml:space="preserve">iftsomkostninger i 2016 og 2017, </w:t>
      </w:r>
      <w:r w:rsidRPr="00C921F1" w:rsidR="00C921F1">
        <w:t xml:space="preserve">I forhold til jeres </w:t>
      </w:r>
      <w:r w:rsidR="00C921F1">
        <w:t xml:space="preserve">faktiske </w:t>
      </w:r>
      <w:r w:rsidRPr="00C921F1" w:rsidR="00C921F1">
        <w:t xml:space="preserve">driftsomkostninger or 2016, er det en procentvis forøgelse på ca. </w:t>
      </w:r>
      <w:r w:rsidR="00C921F1">
        <w:t>1,9</w:t>
      </w:r>
      <w:r w:rsidRPr="00C921F1" w:rsidR="00C921F1">
        <w:t xml:space="preserve"> pr</w:t>
      </w:r>
      <w:r w:rsidRPr="00C921F1" w:rsidR="00C921F1">
        <w:t>o</w:t>
      </w:r>
      <w:r w:rsidRPr="00C921F1" w:rsidR="00C921F1">
        <w:t>cent.</w:t>
      </w:r>
    </w:p>
    <w:p w:rsidR="00B75404" w:rsidP="00166345" w:rsidRDefault="00B75404">
      <w:pPr>
        <w:spacing w:line="240" w:lineRule="auto"/>
        <w:jc w:val="both"/>
      </w:pPr>
    </w:p>
    <w:p w:rsidRPr="00166345" w:rsidR="00B75404" w:rsidP="00166345" w:rsidRDefault="00B75404">
      <w:pPr>
        <w:spacing w:line="240" w:lineRule="auto"/>
        <w:jc w:val="both"/>
      </w:pPr>
      <w:r>
        <w:t>Jeres samlede prisloft for 2016 var 20.103.906 kr., og at jeres økonom</w:t>
      </w:r>
      <w:r>
        <w:t>i</w:t>
      </w:r>
      <w:r>
        <w:t>ske ramme for 2017 er 22.802.658 kr.</w:t>
      </w:r>
    </w:p>
    <w:p w:rsidR="00166345" w:rsidP="00166345" w:rsidRDefault="00166345">
      <w:pPr>
        <w:spacing w:line="240" w:lineRule="auto"/>
        <w:jc w:val="both"/>
      </w:pPr>
    </w:p>
    <w:p w:rsidRPr="00B75404" w:rsidR="00B75404" w:rsidP="00B75404" w:rsidRDefault="00B75404">
      <w:pPr>
        <w:spacing w:line="240" w:lineRule="auto"/>
        <w:jc w:val="both"/>
      </w:pPr>
      <w:r w:rsidRPr="00B75404">
        <w:t xml:space="preserve">Set i forhold til ovenfor nævnte stigning i </w:t>
      </w:r>
      <w:bookmarkStart w:name="_GoBack" w:id="0"/>
      <w:bookmarkEnd w:id="0"/>
      <w:r w:rsidRPr="00B75404">
        <w:t>jeres el omkostninger på 100.978,42 kr. er dette en</w:t>
      </w:r>
      <w:r>
        <w:t xml:space="preserve"> procentvis forøgelse på ca. 0,</w:t>
      </w:r>
      <w:r w:rsidR="00EE3692">
        <w:t>5</w:t>
      </w:r>
      <w:r w:rsidRPr="00B75404">
        <w:t xml:space="preserve"> pct. i forhold til jeres </w:t>
      </w:r>
      <w:r>
        <w:t xml:space="preserve">samlede prisloft 2016 og </w:t>
      </w:r>
      <w:r w:rsidR="00EE3692">
        <w:t xml:space="preserve">ca. 0,44 pct. i forhold til </w:t>
      </w:r>
      <w:r>
        <w:t>jeres økonomiske ramme for 2017.</w:t>
      </w:r>
    </w:p>
    <w:p w:rsidRPr="00166345" w:rsidR="00B75404" w:rsidP="00166345" w:rsidRDefault="00B75404">
      <w:pPr>
        <w:spacing w:line="240" w:lineRule="auto"/>
        <w:jc w:val="both"/>
      </w:pPr>
    </w:p>
    <w:p w:rsidRPr="00166345" w:rsidR="00166345" w:rsidP="00166345" w:rsidRDefault="00491AC8">
      <w:pPr>
        <w:spacing w:line="240" w:lineRule="auto"/>
        <w:jc w:val="both"/>
      </w:pPr>
      <w:r>
        <w:t xml:space="preserve">Henset hertil samt at </w:t>
      </w:r>
      <w:r w:rsidR="00254371">
        <w:t>den samlede stigning</w:t>
      </w:r>
      <w:r>
        <w:t xml:space="preserve"> i jeres el-omkostninger ikke med helt sikkerhed kan antages at hænge sammen med forøgelsen af j</w:t>
      </w:r>
      <w:r>
        <w:t>e</w:t>
      </w:r>
      <w:r>
        <w:t xml:space="preserve">res håndterede vandmængde, er det </w:t>
      </w:r>
      <w:r w:rsidRPr="00166345" w:rsidR="00166345">
        <w:t>vores vurdering, at der ikke er sket en væsentlig forøgelse af jeres årlige driftsomkostninger (ØR-bekendtgørelsen § 11, stk. 4).</w:t>
      </w:r>
    </w:p>
    <w:p w:rsidRPr="00166345" w:rsidR="00166345" w:rsidP="00166345" w:rsidRDefault="00166345">
      <w:pPr>
        <w:spacing w:line="240" w:lineRule="auto"/>
        <w:jc w:val="both"/>
      </w:pPr>
    </w:p>
    <w:p w:rsidRPr="00166345" w:rsidR="00166345" w:rsidP="00166345" w:rsidRDefault="00166345">
      <w:pPr>
        <w:spacing w:line="240" w:lineRule="auto"/>
        <w:jc w:val="both"/>
        <w:rPr>
          <w:b/>
          <w:i/>
        </w:rPr>
      </w:pPr>
      <w:r w:rsidRPr="00166345">
        <w:rPr>
          <w:b/>
          <w:i/>
        </w:rPr>
        <w:t>Sammenfatning</w:t>
      </w:r>
    </w:p>
    <w:p w:rsidRPr="00166345" w:rsidR="00166345" w:rsidP="00166345" w:rsidRDefault="00166345">
      <w:pPr>
        <w:spacing w:line="240" w:lineRule="auto"/>
        <w:jc w:val="both"/>
      </w:pPr>
      <w:r w:rsidRPr="00166345">
        <w:t>På baggrund af ovenstående kan det således sammenfattes, at vi ikke har godkendt jeres ansøgning om tillæg til udvidelsen af jeres håndterede vandmængder.</w:t>
      </w:r>
    </w:p>
    <w:p w:rsidRPr="00166345" w:rsidR="00166345" w:rsidP="00166345" w:rsidRDefault="00166345">
      <w:pPr>
        <w:spacing w:line="240" w:lineRule="auto"/>
        <w:jc w:val="both"/>
      </w:pPr>
      <w:r w:rsidRPr="00166345">
        <w:t xml:space="preserve"> </w:t>
      </w:r>
    </w:p>
    <w:sectPr w:rsidRPr="00166345" w:rsidR="00166345" w:rsidSect="003875ED">
      <w:headerReference w:type="even" r:id="rId9"/>
      <w:headerReference w:type="default" r:id="rId10"/>
      <w:headerReference w:type="first" r:id="rId11"/>
      <w:pgSz w:w="11906" w:h="16838" w:code="9"/>
      <w:pgMar w:top="2155" w:right="3742" w:bottom="794" w:left="1106" w:header="624" w:footer="567" w:gutter="0"/>
      <w:paperSrc w:first="2" w:other="7"/>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0D" w:rsidRPr="002125F5" w:rsidRDefault="00ED010D" w:rsidP="002125F5">
      <w:pPr>
        <w:pStyle w:val="Sidefod"/>
      </w:pPr>
    </w:p>
  </w:endnote>
  <w:endnote w:type="continuationSeparator" w:id="0">
    <w:p w:rsidR="00ED010D" w:rsidRPr="002125F5" w:rsidRDefault="00ED010D" w:rsidP="002125F5">
      <w:pPr>
        <w:pStyle w:val="Sidefo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0D" w:rsidRPr="002125F5" w:rsidRDefault="00ED010D" w:rsidP="002125F5">
      <w:pPr>
        <w:pStyle w:val="Sidefod"/>
      </w:pPr>
    </w:p>
  </w:footnote>
  <w:footnote w:type="continuationSeparator" w:id="0">
    <w:p w:rsidR="00ED010D" w:rsidRPr="002125F5" w:rsidRDefault="00ED010D" w:rsidP="002125F5">
      <w:pPr>
        <w:pStyle w:val="Sidefod"/>
      </w:pPr>
    </w:p>
  </w:footnote>
  <w:footnote w:id="1">
    <w:p w:rsidR="00166345" w:rsidRDefault="00166345" w:rsidP="00166345">
      <w:pPr>
        <w:pStyle w:val="Fodnotetekst"/>
      </w:pPr>
      <w:r>
        <w:rPr>
          <w:rStyle w:val="Fodnotehenvisning"/>
        </w:rPr>
        <w:footnoteRef/>
      </w:r>
      <w:r>
        <w:t xml:space="preserve"> </w:t>
      </w:r>
      <w:r w:rsidRPr="005D27CB">
        <w:t>http://energitilsynet.dk/el/priser/arkiv/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ED" w:rsidRDefault="003875E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F2" w:rsidRPr="002125F5" w:rsidRDefault="00B97108" w:rsidP="00B97108">
    <w:pPr>
      <w:pStyle w:val="Sidehoved"/>
      <w:jc w:val="right"/>
    </w:pPr>
    <w:r w:rsidRPr="00A60E6E">
      <w:rPr>
        <w:bCs/>
        <w:szCs w:val="24"/>
      </w:rPr>
      <w:fldChar w:fldCharType="begin"/>
    </w:r>
    <w:r w:rsidRPr="00A60E6E">
      <w:rPr>
        <w:bCs/>
      </w:rPr>
      <w:instrText>PAGE</w:instrText>
    </w:r>
    <w:r w:rsidRPr="00A60E6E">
      <w:rPr>
        <w:bCs/>
        <w:szCs w:val="24"/>
      </w:rPr>
      <w:fldChar w:fldCharType="separate"/>
    </w:r>
    <w:r w:rsidR="00C921F1">
      <w:rPr>
        <w:bCs/>
        <w:noProof/>
      </w:rPr>
      <w:t>5</w:t>
    </w:r>
    <w:r w:rsidRPr="00A60E6E">
      <w:rPr>
        <w:bCs/>
        <w:szCs w:val="24"/>
      </w:rPr>
      <w:fldChar w:fldCharType="end"/>
    </w:r>
    <w:r w:rsidRPr="00A60E6E">
      <w:rPr>
        <w:bCs/>
        <w:szCs w:val="24"/>
      </w:rPr>
      <w:t>/</w:t>
    </w:r>
    <w:r w:rsidRPr="00A60E6E">
      <w:rPr>
        <w:bCs/>
        <w:szCs w:val="24"/>
      </w:rPr>
      <w:fldChar w:fldCharType="begin"/>
    </w:r>
    <w:r w:rsidRPr="00A60E6E">
      <w:rPr>
        <w:bCs/>
      </w:rPr>
      <w:instrText>NUMPAGES</w:instrText>
    </w:r>
    <w:r w:rsidRPr="00A60E6E">
      <w:rPr>
        <w:bCs/>
        <w:szCs w:val="24"/>
      </w:rPr>
      <w:fldChar w:fldCharType="separate"/>
    </w:r>
    <w:r w:rsidR="00C921F1">
      <w:rPr>
        <w:bCs/>
        <w:noProof/>
      </w:rPr>
      <w:t>5</w:t>
    </w:r>
    <w:r w:rsidRPr="00A60E6E">
      <w:rPr>
        <w:bCs/>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F2" w:rsidRPr="002125F5" w:rsidRDefault="00B97108" w:rsidP="002125F5">
    <w:pPr>
      <w:pStyle w:val="Sidehoved"/>
    </w:pPr>
    <w:r>
      <w:rPr>
        <w:noProof/>
      </w:rPr>
      <w:drawing>
        <wp:anchor distT="0" distB="0" distL="114300" distR="114300" simplePos="0" relativeHeight="251671552" behindDoc="0" locked="1" layoutInCell="1" allowOverlap="1" wp14:anchorId="2C059A6F" wp14:editId="6E024C4B">
          <wp:simplePos x="0" y="0"/>
          <wp:positionH relativeFrom="column">
            <wp:posOffset>1518920</wp:posOffset>
          </wp:positionH>
          <wp:positionV relativeFrom="paragraph">
            <wp:posOffset>-165100</wp:posOffset>
          </wp:positionV>
          <wp:extent cx="2790000" cy="547200"/>
          <wp:effectExtent l="0" t="0" r="0" b="5715"/>
          <wp:wrapSquare wrapText="bothSides"/>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0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3D5F"/>
    <w:multiLevelType w:val="hybridMultilevel"/>
    <w:tmpl w:val="4F140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89538AD"/>
    <w:multiLevelType w:val="hybridMultilevel"/>
    <w:tmpl w:val="23725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8BA3FD3"/>
    <w:multiLevelType w:val="hybridMultilevel"/>
    <w:tmpl w:val="711A7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80C1A34"/>
    <w:multiLevelType w:val="hybridMultilevel"/>
    <w:tmpl w:val="0212B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8382246"/>
    <w:multiLevelType w:val="hybridMultilevel"/>
    <w:tmpl w:val="259AF18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2E714F93"/>
    <w:multiLevelType w:val="hybridMultilevel"/>
    <w:tmpl w:val="C206FD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35D229A"/>
    <w:multiLevelType w:val="hybridMultilevel"/>
    <w:tmpl w:val="3C285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4612AF6"/>
    <w:multiLevelType w:val="hybridMultilevel"/>
    <w:tmpl w:val="04E2D26A"/>
    <w:lvl w:ilvl="0" w:tplc="358EED52">
      <w:start w:val="31"/>
      <w:numFmt w:val="bullet"/>
      <w:lvlText w:val="-"/>
      <w:lvlJc w:val="left"/>
      <w:pPr>
        <w:ind w:left="405" w:hanging="360"/>
      </w:pPr>
      <w:rPr>
        <w:rFonts w:ascii="Times New Roman" w:eastAsia="Times New Roman" w:hAnsi="Times New Roman"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8">
    <w:nsid w:val="39967E7B"/>
    <w:multiLevelType w:val="hybridMultilevel"/>
    <w:tmpl w:val="206C3588"/>
    <w:lvl w:ilvl="0" w:tplc="CF7A0CC6">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403F64F7"/>
    <w:multiLevelType w:val="hybridMultilevel"/>
    <w:tmpl w:val="338287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44315A46"/>
    <w:multiLevelType w:val="hybridMultilevel"/>
    <w:tmpl w:val="D6C497C8"/>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6C548BA"/>
    <w:multiLevelType w:val="hybridMultilevel"/>
    <w:tmpl w:val="A5761C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3EA008C"/>
    <w:multiLevelType w:val="hybridMultilevel"/>
    <w:tmpl w:val="C206FD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62203DB2"/>
    <w:multiLevelType w:val="hybridMultilevel"/>
    <w:tmpl w:val="4BA8F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77D8787A"/>
    <w:multiLevelType w:val="hybridMultilevel"/>
    <w:tmpl w:val="52D886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7BB068E2"/>
    <w:multiLevelType w:val="hybridMultilevel"/>
    <w:tmpl w:val="03A40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7F1B0AF5"/>
    <w:multiLevelType w:val="hybridMultilevel"/>
    <w:tmpl w:val="38628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2"/>
  </w:num>
  <w:num w:numId="5">
    <w:abstractNumId w:val="15"/>
  </w:num>
  <w:num w:numId="6">
    <w:abstractNumId w:val="10"/>
  </w:num>
  <w:num w:numId="7">
    <w:abstractNumId w:val="2"/>
  </w:num>
  <w:num w:numId="8">
    <w:abstractNumId w:val="7"/>
  </w:num>
  <w:num w:numId="9">
    <w:abstractNumId w:val="14"/>
  </w:num>
  <w:num w:numId="10">
    <w:abstractNumId w:val="3"/>
  </w:num>
  <w:num w:numId="11">
    <w:abstractNumId w:val="6"/>
  </w:num>
  <w:num w:numId="12">
    <w:abstractNumId w:val="9"/>
  </w:num>
  <w:num w:numId="13">
    <w:abstractNumId w:val="13"/>
  </w:num>
  <w:num w:numId="14">
    <w:abstractNumId w:val="16"/>
  </w:num>
  <w:num w:numId="15">
    <w:abstractNumId w:val="11"/>
  </w:num>
  <w:num w:numId="16">
    <w:abstractNumId w:val="1"/>
  </w:num>
  <w:num w:numId="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etteFlag" w:val="FLETTET"/>
  </w:docVars>
  <w:rsids>
    <w:rsidRoot w:val="00294AC3"/>
    <w:rsid w:val="0001499C"/>
    <w:rsid w:val="00014C02"/>
    <w:rsid w:val="0002097F"/>
    <w:rsid w:val="00021B1F"/>
    <w:rsid w:val="00021B88"/>
    <w:rsid w:val="00022D51"/>
    <w:rsid w:val="00041C3D"/>
    <w:rsid w:val="00053A0E"/>
    <w:rsid w:val="000561A5"/>
    <w:rsid w:val="00056D15"/>
    <w:rsid w:val="0005744F"/>
    <w:rsid w:val="00060081"/>
    <w:rsid w:val="00062F50"/>
    <w:rsid w:val="00070BAC"/>
    <w:rsid w:val="00072A48"/>
    <w:rsid w:val="0007357A"/>
    <w:rsid w:val="00073871"/>
    <w:rsid w:val="000740A3"/>
    <w:rsid w:val="000760E9"/>
    <w:rsid w:val="000771F7"/>
    <w:rsid w:val="0007727C"/>
    <w:rsid w:val="00080B15"/>
    <w:rsid w:val="00080FC0"/>
    <w:rsid w:val="00084080"/>
    <w:rsid w:val="0008444D"/>
    <w:rsid w:val="00085B14"/>
    <w:rsid w:val="000905A3"/>
    <w:rsid w:val="00091A75"/>
    <w:rsid w:val="000A439D"/>
    <w:rsid w:val="000A44D5"/>
    <w:rsid w:val="000C16E0"/>
    <w:rsid w:val="000C3206"/>
    <w:rsid w:val="000C6980"/>
    <w:rsid w:val="000D183F"/>
    <w:rsid w:val="000D2B67"/>
    <w:rsid w:val="000E027B"/>
    <w:rsid w:val="000E1EB9"/>
    <w:rsid w:val="000E4D82"/>
    <w:rsid w:val="000E5A01"/>
    <w:rsid w:val="000F040C"/>
    <w:rsid w:val="000F2041"/>
    <w:rsid w:val="000F281F"/>
    <w:rsid w:val="000F2D08"/>
    <w:rsid w:val="000F41D7"/>
    <w:rsid w:val="001017B6"/>
    <w:rsid w:val="00102C19"/>
    <w:rsid w:val="001043CE"/>
    <w:rsid w:val="00105FF5"/>
    <w:rsid w:val="00115A0E"/>
    <w:rsid w:val="00115C99"/>
    <w:rsid w:val="001177FE"/>
    <w:rsid w:val="001204FF"/>
    <w:rsid w:val="0012072A"/>
    <w:rsid w:val="001278D8"/>
    <w:rsid w:val="00132C4C"/>
    <w:rsid w:val="00135B56"/>
    <w:rsid w:val="00136EA3"/>
    <w:rsid w:val="00141FA1"/>
    <w:rsid w:val="0014316B"/>
    <w:rsid w:val="00150888"/>
    <w:rsid w:val="001653BB"/>
    <w:rsid w:val="00166345"/>
    <w:rsid w:val="0017232C"/>
    <w:rsid w:val="00173EAC"/>
    <w:rsid w:val="00174F26"/>
    <w:rsid w:val="001769E7"/>
    <w:rsid w:val="001806EA"/>
    <w:rsid w:val="00184654"/>
    <w:rsid w:val="001905CA"/>
    <w:rsid w:val="001929BB"/>
    <w:rsid w:val="001A0FFE"/>
    <w:rsid w:val="001A2165"/>
    <w:rsid w:val="001A3BAB"/>
    <w:rsid w:val="001A3FF9"/>
    <w:rsid w:val="001A6606"/>
    <w:rsid w:val="001B18FF"/>
    <w:rsid w:val="001B1FED"/>
    <w:rsid w:val="001B4C1D"/>
    <w:rsid w:val="001B60E4"/>
    <w:rsid w:val="001C2ABC"/>
    <w:rsid w:val="001C58E8"/>
    <w:rsid w:val="001C5C25"/>
    <w:rsid w:val="001D1E18"/>
    <w:rsid w:val="001D6510"/>
    <w:rsid w:val="001D6E40"/>
    <w:rsid w:val="001E0F97"/>
    <w:rsid w:val="001E2C3C"/>
    <w:rsid w:val="001F0BCA"/>
    <w:rsid w:val="001F221C"/>
    <w:rsid w:val="001F7E5D"/>
    <w:rsid w:val="00201044"/>
    <w:rsid w:val="002024EC"/>
    <w:rsid w:val="002125F5"/>
    <w:rsid w:val="00212FA6"/>
    <w:rsid w:val="0021498E"/>
    <w:rsid w:val="00216EF9"/>
    <w:rsid w:val="00223F94"/>
    <w:rsid w:val="0022573C"/>
    <w:rsid w:val="0023630E"/>
    <w:rsid w:val="00242031"/>
    <w:rsid w:val="00245228"/>
    <w:rsid w:val="00247976"/>
    <w:rsid w:val="002538B3"/>
    <w:rsid w:val="00254371"/>
    <w:rsid w:val="00264052"/>
    <w:rsid w:val="0026678B"/>
    <w:rsid w:val="002706B9"/>
    <w:rsid w:val="00271704"/>
    <w:rsid w:val="002722E0"/>
    <w:rsid w:val="002760FC"/>
    <w:rsid w:val="00283EE4"/>
    <w:rsid w:val="00285AA7"/>
    <w:rsid w:val="002914DE"/>
    <w:rsid w:val="002930F0"/>
    <w:rsid w:val="00294AC3"/>
    <w:rsid w:val="00294BBD"/>
    <w:rsid w:val="00297EDA"/>
    <w:rsid w:val="002A2111"/>
    <w:rsid w:val="002A2999"/>
    <w:rsid w:val="002A6C75"/>
    <w:rsid w:val="002B29C7"/>
    <w:rsid w:val="002B7EF5"/>
    <w:rsid w:val="002C3DEB"/>
    <w:rsid w:val="002D0633"/>
    <w:rsid w:val="002D0ECF"/>
    <w:rsid w:val="002D197A"/>
    <w:rsid w:val="002D3CD5"/>
    <w:rsid w:val="002D53D4"/>
    <w:rsid w:val="002D5579"/>
    <w:rsid w:val="002D778B"/>
    <w:rsid w:val="002E24AE"/>
    <w:rsid w:val="002E636A"/>
    <w:rsid w:val="002F1817"/>
    <w:rsid w:val="002F2CE0"/>
    <w:rsid w:val="002F4159"/>
    <w:rsid w:val="002F4F9D"/>
    <w:rsid w:val="002F577A"/>
    <w:rsid w:val="002F6BDB"/>
    <w:rsid w:val="002F6EB4"/>
    <w:rsid w:val="003131CC"/>
    <w:rsid w:val="00315B95"/>
    <w:rsid w:val="00321A10"/>
    <w:rsid w:val="00326491"/>
    <w:rsid w:val="003306E3"/>
    <w:rsid w:val="00330DF9"/>
    <w:rsid w:val="00331097"/>
    <w:rsid w:val="00332E11"/>
    <w:rsid w:val="00335AC0"/>
    <w:rsid w:val="0034117B"/>
    <w:rsid w:val="00341D81"/>
    <w:rsid w:val="00341DFD"/>
    <w:rsid w:val="00342DE7"/>
    <w:rsid w:val="003437FC"/>
    <w:rsid w:val="00343C84"/>
    <w:rsid w:val="00346B81"/>
    <w:rsid w:val="0035139E"/>
    <w:rsid w:val="00354180"/>
    <w:rsid w:val="00356129"/>
    <w:rsid w:val="003629A3"/>
    <w:rsid w:val="003655B2"/>
    <w:rsid w:val="003667B3"/>
    <w:rsid w:val="00373F68"/>
    <w:rsid w:val="00384EAC"/>
    <w:rsid w:val="00384F2A"/>
    <w:rsid w:val="003875ED"/>
    <w:rsid w:val="00394B79"/>
    <w:rsid w:val="003A046B"/>
    <w:rsid w:val="003A06EE"/>
    <w:rsid w:val="003A191E"/>
    <w:rsid w:val="003B1943"/>
    <w:rsid w:val="003B3202"/>
    <w:rsid w:val="003B4A79"/>
    <w:rsid w:val="003B68C2"/>
    <w:rsid w:val="003C1569"/>
    <w:rsid w:val="003C3ACB"/>
    <w:rsid w:val="003C3D29"/>
    <w:rsid w:val="003C640E"/>
    <w:rsid w:val="003C7D8D"/>
    <w:rsid w:val="003D0E28"/>
    <w:rsid w:val="003D429A"/>
    <w:rsid w:val="003E096E"/>
    <w:rsid w:val="003E0EA3"/>
    <w:rsid w:val="003F360D"/>
    <w:rsid w:val="003F44BD"/>
    <w:rsid w:val="003F4EA3"/>
    <w:rsid w:val="003F61F3"/>
    <w:rsid w:val="003F6378"/>
    <w:rsid w:val="003F6FEF"/>
    <w:rsid w:val="00402C0D"/>
    <w:rsid w:val="00403BE8"/>
    <w:rsid w:val="00407E34"/>
    <w:rsid w:val="0041573C"/>
    <w:rsid w:val="00415F57"/>
    <w:rsid w:val="00421B56"/>
    <w:rsid w:val="00423698"/>
    <w:rsid w:val="004273A6"/>
    <w:rsid w:val="004317D9"/>
    <w:rsid w:val="004330BD"/>
    <w:rsid w:val="00433127"/>
    <w:rsid w:val="00434E4A"/>
    <w:rsid w:val="00436B4F"/>
    <w:rsid w:val="004377AC"/>
    <w:rsid w:val="004416FA"/>
    <w:rsid w:val="0044285D"/>
    <w:rsid w:val="00452B36"/>
    <w:rsid w:val="00452F6F"/>
    <w:rsid w:val="00453A00"/>
    <w:rsid w:val="00455762"/>
    <w:rsid w:val="00457C84"/>
    <w:rsid w:val="0046572E"/>
    <w:rsid w:val="00470ED3"/>
    <w:rsid w:val="00472BFA"/>
    <w:rsid w:val="00477498"/>
    <w:rsid w:val="0048113D"/>
    <w:rsid w:val="004876D6"/>
    <w:rsid w:val="00491AC8"/>
    <w:rsid w:val="00493A0B"/>
    <w:rsid w:val="00494811"/>
    <w:rsid w:val="00495818"/>
    <w:rsid w:val="00495BA9"/>
    <w:rsid w:val="004A0369"/>
    <w:rsid w:val="004A1759"/>
    <w:rsid w:val="004A5BD9"/>
    <w:rsid w:val="004B12D4"/>
    <w:rsid w:val="004B1948"/>
    <w:rsid w:val="004B1A8B"/>
    <w:rsid w:val="004B1B8B"/>
    <w:rsid w:val="004C0106"/>
    <w:rsid w:val="004C2A76"/>
    <w:rsid w:val="004C374B"/>
    <w:rsid w:val="004C38CA"/>
    <w:rsid w:val="004C6FA2"/>
    <w:rsid w:val="004D158F"/>
    <w:rsid w:val="004D293E"/>
    <w:rsid w:val="004D4D5B"/>
    <w:rsid w:val="004E372D"/>
    <w:rsid w:val="004F1EFE"/>
    <w:rsid w:val="00500BA6"/>
    <w:rsid w:val="00501421"/>
    <w:rsid w:val="0050452C"/>
    <w:rsid w:val="00507437"/>
    <w:rsid w:val="005165AF"/>
    <w:rsid w:val="00516656"/>
    <w:rsid w:val="005227AD"/>
    <w:rsid w:val="00532B02"/>
    <w:rsid w:val="00533DB0"/>
    <w:rsid w:val="00535800"/>
    <w:rsid w:val="00535EBA"/>
    <w:rsid w:val="00551A6A"/>
    <w:rsid w:val="005522CB"/>
    <w:rsid w:val="00552304"/>
    <w:rsid w:val="005523AB"/>
    <w:rsid w:val="005527FE"/>
    <w:rsid w:val="00562C3B"/>
    <w:rsid w:val="00566B0B"/>
    <w:rsid w:val="00577796"/>
    <w:rsid w:val="005810E5"/>
    <w:rsid w:val="00581797"/>
    <w:rsid w:val="00581A42"/>
    <w:rsid w:val="00582656"/>
    <w:rsid w:val="00583A0A"/>
    <w:rsid w:val="00591FFF"/>
    <w:rsid w:val="00592F92"/>
    <w:rsid w:val="005A06C0"/>
    <w:rsid w:val="005A0D0C"/>
    <w:rsid w:val="005A2517"/>
    <w:rsid w:val="005A2B2C"/>
    <w:rsid w:val="005A2D5D"/>
    <w:rsid w:val="005A320A"/>
    <w:rsid w:val="005A402D"/>
    <w:rsid w:val="005B2212"/>
    <w:rsid w:val="005B3DF2"/>
    <w:rsid w:val="005B447B"/>
    <w:rsid w:val="005B4EC9"/>
    <w:rsid w:val="005B5BB0"/>
    <w:rsid w:val="005C0323"/>
    <w:rsid w:val="005C3E7D"/>
    <w:rsid w:val="005D3C88"/>
    <w:rsid w:val="005D5679"/>
    <w:rsid w:val="005D5A7C"/>
    <w:rsid w:val="005E174C"/>
    <w:rsid w:val="005E2DB7"/>
    <w:rsid w:val="005E4FCE"/>
    <w:rsid w:val="005E722A"/>
    <w:rsid w:val="005E7D9D"/>
    <w:rsid w:val="005F1688"/>
    <w:rsid w:val="005F5BD0"/>
    <w:rsid w:val="005F6BD3"/>
    <w:rsid w:val="00600EE9"/>
    <w:rsid w:val="00601416"/>
    <w:rsid w:val="00601924"/>
    <w:rsid w:val="00602BF9"/>
    <w:rsid w:val="00604BFA"/>
    <w:rsid w:val="00605611"/>
    <w:rsid w:val="0061280F"/>
    <w:rsid w:val="006241F8"/>
    <w:rsid w:val="00625473"/>
    <w:rsid w:val="00625696"/>
    <w:rsid w:val="00631CC0"/>
    <w:rsid w:val="00635219"/>
    <w:rsid w:val="00641084"/>
    <w:rsid w:val="00645D0A"/>
    <w:rsid w:val="00647CB4"/>
    <w:rsid w:val="0065249E"/>
    <w:rsid w:val="0065324A"/>
    <w:rsid w:val="0065685F"/>
    <w:rsid w:val="006578A0"/>
    <w:rsid w:val="006602DB"/>
    <w:rsid w:val="00665144"/>
    <w:rsid w:val="00665334"/>
    <w:rsid w:val="00666B30"/>
    <w:rsid w:val="00666BFA"/>
    <w:rsid w:val="006709CA"/>
    <w:rsid w:val="00671C23"/>
    <w:rsid w:val="00676BB9"/>
    <w:rsid w:val="0068197B"/>
    <w:rsid w:val="00682DF5"/>
    <w:rsid w:val="0068383B"/>
    <w:rsid w:val="00684EE2"/>
    <w:rsid w:val="006877C0"/>
    <w:rsid w:val="00694470"/>
    <w:rsid w:val="0069748B"/>
    <w:rsid w:val="00697CCC"/>
    <w:rsid w:val="006A293A"/>
    <w:rsid w:val="006B0846"/>
    <w:rsid w:val="006B603D"/>
    <w:rsid w:val="006C1757"/>
    <w:rsid w:val="006C23C6"/>
    <w:rsid w:val="006C3A5C"/>
    <w:rsid w:val="006C43CB"/>
    <w:rsid w:val="006D1E77"/>
    <w:rsid w:val="006D3EBE"/>
    <w:rsid w:val="006D66DD"/>
    <w:rsid w:val="006D7C1C"/>
    <w:rsid w:val="006E2F43"/>
    <w:rsid w:val="006E6505"/>
    <w:rsid w:val="006F18EB"/>
    <w:rsid w:val="0070658B"/>
    <w:rsid w:val="007065BF"/>
    <w:rsid w:val="007166E0"/>
    <w:rsid w:val="00716E6D"/>
    <w:rsid w:val="007216CA"/>
    <w:rsid w:val="00723719"/>
    <w:rsid w:val="00742661"/>
    <w:rsid w:val="007528F4"/>
    <w:rsid w:val="007530CF"/>
    <w:rsid w:val="0075464F"/>
    <w:rsid w:val="007606D8"/>
    <w:rsid w:val="00763D1B"/>
    <w:rsid w:val="00766477"/>
    <w:rsid w:val="0076710E"/>
    <w:rsid w:val="00767E1A"/>
    <w:rsid w:val="00776F90"/>
    <w:rsid w:val="00781683"/>
    <w:rsid w:val="00781F19"/>
    <w:rsid w:val="007837F9"/>
    <w:rsid w:val="00785767"/>
    <w:rsid w:val="0078639A"/>
    <w:rsid w:val="007961A8"/>
    <w:rsid w:val="007A29AE"/>
    <w:rsid w:val="007B5577"/>
    <w:rsid w:val="007C0B7A"/>
    <w:rsid w:val="007E0502"/>
    <w:rsid w:val="007E4E50"/>
    <w:rsid w:val="007E72D0"/>
    <w:rsid w:val="007E748F"/>
    <w:rsid w:val="007F10E4"/>
    <w:rsid w:val="007F4243"/>
    <w:rsid w:val="007F484E"/>
    <w:rsid w:val="00807A68"/>
    <w:rsid w:val="008138BF"/>
    <w:rsid w:val="00814638"/>
    <w:rsid w:val="008176A9"/>
    <w:rsid w:val="00832DD5"/>
    <w:rsid w:val="008339F9"/>
    <w:rsid w:val="00835447"/>
    <w:rsid w:val="00841295"/>
    <w:rsid w:val="00841BD7"/>
    <w:rsid w:val="00841D52"/>
    <w:rsid w:val="00851764"/>
    <w:rsid w:val="00860D92"/>
    <w:rsid w:val="00860EE4"/>
    <w:rsid w:val="00862597"/>
    <w:rsid w:val="00862784"/>
    <w:rsid w:val="00863C03"/>
    <w:rsid w:val="00864989"/>
    <w:rsid w:val="0086517A"/>
    <w:rsid w:val="00867974"/>
    <w:rsid w:val="00870C3E"/>
    <w:rsid w:val="008831FE"/>
    <w:rsid w:val="00885347"/>
    <w:rsid w:val="00886018"/>
    <w:rsid w:val="008919F9"/>
    <w:rsid w:val="00893B0C"/>
    <w:rsid w:val="008959B2"/>
    <w:rsid w:val="008A0C34"/>
    <w:rsid w:val="008A6175"/>
    <w:rsid w:val="008A6D21"/>
    <w:rsid w:val="008B1BDB"/>
    <w:rsid w:val="008B2697"/>
    <w:rsid w:val="008B57C7"/>
    <w:rsid w:val="008B7125"/>
    <w:rsid w:val="008C1FCD"/>
    <w:rsid w:val="008C2778"/>
    <w:rsid w:val="008C29F6"/>
    <w:rsid w:val="008C4420"/>
    <w:rsid w:val="008D1FB1"/>
    <w:rsid w:val="008D20D5"/>
    <w:rsid w:val="008D7E4C"/>
    <w:rsid w:val="008E1D64"/>
    <w:rsid w:val="008E6F2E"/>
    <w:rsid w:val="008F1555"/>
    <w:rsid w:val="008F456B"/>
    <w:rsid w:val="008F6259"/>
    <w:rsid w:val="008F6694"/>
    <w:rsid w:val="009079A2"/>
    <w:rsid w:val="00911A62"/>
    <w:rsid w:val="00914EDA"/>
    <w:rsid w:val="00921AAF"/>
    <w:rsid w:val="00941F28"/>
    <w:rsid w:val="00952C32"/>
    <w:rsid w:val="00955D96"/>
    <w:rsid w:val="009610D7"/>
    <w:rsid w:val="00967E23"/>
    <w:rsid w:val="009711FA"/>
    <w:rsid w:val="00976BFC"/>
    <w:rsid w:val="00990095"/>
    <w:rsid w:val="00991503"/>
    <w:rsid w:val="009950B2"/>
    <w:rsid w:val="009A5434"/>
    <w:rsid w:val="009A5A7E"/>
    <w:rsid w:val="009A5CCE"/>
    <w:rsid w:val="009A7322"/>
    <w:rsid w:val="009B0F57"/>
    <w:rsid w:val="009B1036"/>
    <w:rsid w:val="009B5D14"/>
    <w:rsid w:val="009C1682"/>
    <w:rsid w:val="009C5E5F"/>
    <w:rsid w:val="009C6BCD"/>
    <w:rsid w:val="009E2C1B"/>
    <w:rsid w:val="009E3632"/>
    <w:rsid w:val="009E485B"/>
    <w:rsid w:val="009E63D5"/>
    <w:rsid w:val="009F1D79"/>
    <w:rsid w:val="009F2044"/>
    <w:rsid w:val="009F5736"/>
    <w:rsid w:val="009F6DDA"/>
    <w:rsid w:val="009F6DE2"/>
    <w:rsid w:val="00A04EED"/>
    <w:rsid w:val="00A0679A"/>
    <w:rsid w:val="00A06E3A"/>
    <w:rsid w:val="00A10683"/>
    <w:rsid w:val="00A114A0"/>
    <w:rsid w:val="00A12EC3"/>
    <w:rsid w:val="00A138AF"/>
    <w:rsid w:val="00A27C0E"/>
    <w:rsid w:val="00A3111D"/>
    <w:rsid w:val="00A31751"/>
    <w:rsid w:val="00A3298C"/>
    <w:rsid w:val="00A34B2E"/>
    <w:rsid w:val="00A37EEE"/>
    <w:rsid w:val="00A41870"/>
    <w:rsid w:val="00A4296A"/>
    <w:rsid w:val="00A43E9D"/>
    <w:rsid w:val="00A445DB"/>
    <w:rsid w:val="00A534B6"/>
    <w:rsid w:val="00A624BC"/>
    <w:rsid w:val="00A63121"/>
    <w:rsid w:val="00A63CBA"/>
    <w:rsid w:val="00A727C0"/>
    <w:rsid w:val="00A73C0D"/>
    <w:rsid w:val="00A740B1"/>
    <w:rsid w:val="00A75E26"/>
    <w:rsid w:val="00A807AF"/>
    <w:rsid w:val="00A82C2A"/>
    <w:rsid w:val="00A8420C"/>
    <w:rsid w:val="00A8552C"/>
    <w:rsid w:val="00A85A79"/>
    <w:rsid w:val="00A87BEF"/>
    <w:rsid w:val="00A94648"/>
    <w:rsid w:val="00A96AD3"/>
    <w:rsid w:val="00A979B0"/>
    <w:rsid w:val="00AA25F4"/>
    <w:rsid w:val="00AA3961"/>
    <w:rsid w:val="00AA6B0B"/>
    <w:rsid w:val="00AB110D"/>
    <w:rsid w:val="00AB136A"/>
    <w:rsid w:val="00AB4A47"/>
    <w:rsid w:val="00AC5831"/>
    <w:rsid w:val="00AC5B2E"/>
    <w:rsid w:val="00AC752C"/>
    <w:rsid w:val="00AD2BCE"/>
    <w:rsid w:val="00AD5B32"/>
    <w:rsid w:val="00AD6C7E"/>
    <w:rsid w:val="00AE23B5"/>
    <w:rsid w:val="00AE2DA1"/>
    <w:rsid w:val="00AE6F81"/>
    <w:rsid w:val="00AF1777"/>
    <w:rsid w:val="00AF389C"/>
    <w:rsid w:val="00AF744A"/>
    <w:rsid w:val="00B00491"/>
    <w:rsid w:val="00B007F6"/>
    <w:rsid w:val="00B04028"/>
    <w:rsid w:val="00B04D5F"/>
    <w:rsid w:val="00B05082"/>
    <w:rsid w:val="00B05444"/>
    <w:rsid w:val="00B11F20"/>
    <w:rsid w:val="00B22133"/>
    <w:rsid w:val="00B22737"/>
    <w:rsid w:val="00B24036"/>
    <w:rsid w:val="00B4247C"/>
    <w:rsid w:val="00B42D94"/>
    <w:rsid w:val="00B43722"/>
    <w:rsid w:val="00B47A74"/>
    <w:rsid w:val="00B50043"/>
    <w:rsid w:val="00B52589"/>
    <w:rsid w:val="00B54179"/>
    <w:rsid w:val="00B57639"/>
    <w:rsid w:val="00B640D1"/>
    <w:rsid w:val="00B665CE"/>
    <w:rsid w:val="00B7024F"/>
    <w:rsid w:val="00B73755"/>
    <w:rsid w:val="00B73EC3"/>
    <w:rsid w:val="00B73FFC"/>
    <w:rsid w:val="00B75404"/>
    <w:rsid w:val="00B77D10"/>
    <w:rsid w:val="00B92DC0"/>
    <w:rsid w:val="00B94874"/>
    <w:rsid w:val="00B97108"/>
    <w:rsid w:val="00BA0391"/>
    <w:rsid w:val="00BA1C13"/>
    <w:rsid w:val="00BA2933"/>
    <w:rsid w:val="00BA31C6"/>
    <w:rsid w:val="00BA584D"/>
    <w:rsid w:val="00BB2DF4"/>
    <w:rsid w:val="00BB3AB3"/>
    <w:rsid w:val="00BB444D"/>
    <w:rsid w:val="00BB753E"/>
    <w:rsid w:val="00BC2890"/>
    <w:rsid w:val="00BC4B45"/>
    <w:rsid w:val="00BC4FAB"/>
    <w:rsid w:val="00BC5B57"/>
    <w:rsid w:val="00BD2609"/>
    <w:rsid w:val="00BD5C2D"/>
    <w:rsid w:val="00BD6FE4"/>
    <w:rsid w:val="00BE2367"/>
    <w:rsid w:val="00BF0C60"/>
    <w:rsid w:val="00BF7464"/>
    <w:rsid w:val="00C00D70"/>
    <w:rsid w:val="00C012B0"/>
    <w:rsid w:val="00C033CB"/>
    <w:rsid w:val="00C035C9"/>
    <w:rsid w:val="00C1294F"/>
    <w:rsid w:val="00C1296A"/>
    <w:rsid w:val="00C171B2"/>
    <w:rsid w:val="00C23FCC"/>
    <w:rsid w:val="00C31CE9"/>
    <w:rsid w:val="00C31EE3"/>
    <w:rsid w:val="00C370EE"/>
    <w:rsid w:val="00C42341"/>
    <w:rsid w:val="00C43E37"/>
    <w:rsid w:val="00C463DE"/>
    <w:rsid w:val="00C47069"/>
    <w:rsid w:val="00C51D91"/>
    <w:rsid w:val="00C52D73"/>
    <w:rsid w:val="00C60A4B"/>
    <w:rsid w:val="00C6379A"/>
    <w:rsid w:val="00C644C0"/>
    <w:rsid w:val="00C70B8C"/>
    <w:rsid w:val="00C755C7"/>
    <w:rsid w:val="00C756F9"/>
    <w:rsid w:val="00C779B4"/>
    <w:rsid w:val="00C80CA6"/>
    <w:rsid w:val="00C8130F"/>
    <w:rsid w:val="00C8153F"/>
    <w:rsid w:val="00C82881"/>
    <w:rsid w:val="00C84728"/>
    <w:rsid w:val="00C921F1"/>
    <w:rsid w:val="00C92598"/>
    <w:rsid w:val="00CA4D48"/>
    <w:rsid w:val="00CA752A"/>
    <w:rsid w:val="00CB00AD"/>
    <w:rsid w:val="00CC192E"/>
    <w:rsid w:val="00CC6315"/>
    <w:rsid w:val="00CC64EA"/>
    <w:rsid w:val="00CD55BE"/>
    <w:rsid w:val="00CE34D9"/>
    <w:rsid w:val="00CE509E"/>
    <w:rsid w:val="00CF04C6"/>
    <w:rsid w:val="00CF16B0"/>
    <w:rsid w:val="00CF2814"/>
    <w:rsid w:val="00CF394B"/>
    <w:rsid w:val="00CF6AA7"/>
    <w:rsid w:val="00D04BF3"/>
    <w:rsid w:val="00D11E27"/>
    <w:rsid w:val="00D21BC3"/>
    <w:rsid w:val="00D3335D"/>
    <w:rsid w:val="00D455EE"/>
    <w:rsid w:val="00D458AC"/>
    <w:rsid w:val="00D47D9D"/>
    <w:rsid w:val="00D47DE4"/>
    <w:rsid w:val="00D52844"/>
    <w:rsid w:val="00D54DC2"/>
    <w:rsid w:val="00D562AD"/>
    <w:rsid w:val="00D579BB"/>
    <w:rsid w:val="00D65189"/>
    <w:rsid w:val="00D72831"/>
    <w:rsid w:val="00D7764C"/>
    <w:rsid w:val="00D80114"/>
    <w:rsid w:val="00D84FC8"/>
    <w:rsid w:val="00D85DB9"/>
    <w:rsid w:val="00D86DD3"/>
    <w:rsid w:val="00D96200"/>
    <w:rsid w:val="00D975B7"/>
    <w:rsid w:val="00DA5240"/>
    <w:rsid w:val="00DA60A4"/>
    <w:rsid w:val="00DA63CC"/>
    <w:rsid w:val="00DB099B"/>
    <w:rsid w:val="00DB2D2D"/>
    <w:rsid w:val="00DC2790"/>
    <w:rsid w:val="00DC3ECF"/>
    <w:rsid w:val="00DC5035"/>
    <w:rsid w:val="00DC63A2"/>
    <w:rsid w:val="00DC702C"/>
    <w:rsid w:val="00DC7712"/>
    <w:rsid w:val="00DD215A"/>
    <w:rsid w:val="00DD2408"/>
    <w:rsid w:val="00DD28DF"/>
    <w:rsid w:val="00DE2ED7"/>
    <w:rsid w:val="00DE5693"/>
    <w:rsid w:val="00DE63D0"/>
    <w:rsid w:val="00DF00CE"/>
    <w:rsid w:val="00E00E86"/>
    <w:rsid w:val="00E01681"/>
    <w:rsid w:val="00E044A1"/>
    <w:rsid w:val="00E1185D"/>
    <w:rsid w:val="00E118D2"/>
    <w:rsid w:val="00E1277D"/>
    <w:rsid w:val="00E12967"/>
    <w:rsid w:val="00E20D70"/>
    <w:rsid w:val="00E227D6"/>
    <w:rsid w:val="00E25BBD"/>
    <w:rsid w:val="00E26EE5"/>
    <w:rsid w:val="00E320D1"/>
    <w:rsid w:val="00E33E51"/>
    <w:rsid w:val="00E358C2"/>
    <w:rsid w:val="00E404BE"/>
    <w:rsid w:val="00E5139C"/>
    <w:rsid w:val="00E53E37"/>
    <w:rsid w:val="00E61584"/>
    <w:rsid w:val="00E71BBE"/>
    <w:rsid w:val="00E8093E"/>
    <w:rsid w:val="00E817D0"/>
    <w:rsid w:val="00E842BA"/>
    <w:rsid w:val="00E852F5"/>
    <w:rsid w:val="00E90F24"/>
    <w:rsid w:val="00E93F7F"/>
    <w:rsid w:val="00E95392"/>
    <w:rsid w:val="00EA1A00"/>
    <w:rsid w:val="00EA1C80"/>
    <w:rsid w:val="00EA491B"/>
    <w:rsid w:val="00EA4EE0"/>
    <w:rsid w:val="00EB4115"/>
    <w:rsid w:val="00EB6D59"/>
    <w:rsid w:val="00EC2CEF"/>
    <w:rsid w:val="00EC32B1"/>
    <w:rsid w:val="00EC554D"/>
    <w:rsid w:val="00ED010D"/>
    <w:rsid w:val="00ED1B26"/>
    <w:rsid w:val="00ED6675"/>
    <w:rsid w:val="00ED798A"/>
    <w:rsid w:val="00EE00B8"/>
    <w:rsid w:val="00EE09B4"/>
    <w:rsid w:val="00EE2091"/>
    <w:rsid w:val="00EE20C5"/>
    <w:rsid w:val="00EE2BC7"/>
    <w:rsid w:val="00EE3181"/>
    <w:rsid w:val="00EE3692"/>
    <w:rsid w:val="00EF0E02"/>
    <w:rsid w:val="00F01A58"/>
    <w:rsid w:val="00F057F4"/>
    <w:rsid w:val="00F07022"/>
    <w:rsid w:val="00F0793D"/>
    <w:rsid w:val="00F07FE7"/>
    <w:rsid w:val="00F116D1"/>
    <w:rsid w:val="00F1674E"/>
    <w:rsid w:val="00F25B23"/>
    <w:rsid w:val="00F30317"/>
    <w:rsid w:val="00F30487"/>
    <w:rsid w:val="00F32A9D"/>
    <w:rsid w:val="00F3568B"/>
    <w:rsid w:val="00F35ADE"/>
    <w:rsid w:val="00F44156"/>
    <w:rsid w:val="00F529F9"/>
    <w:rsid w:val="00F5355C"/>
    <w:rsid w:val="00F53935"/>
    <w:rsid w:val="00F57D32"/>
    <w:rsid w:val="00F63942"/>
    <w:rsid w:val="00F74B1F"/>
    <w:rsid w:val="00F75EE1"/>
    <w:rsid w:val="00F776DF"/>
    <w:rsid w:val="00F851E2"/>
    <w:rsid w:val="00F9644C"/>
    <w:rsid w:val="00FA04A5"/>
    <w:rsid w:val="00FA260B"/>
    <w:rsid w:val="00FA289D"/>
    <w:rsid w:val="00FA307F"/>
    <w:rsid w:val="00FC0418"/>
    <w:rsid w:val="00FD1561"/>
    <w:rsid w:val="00FD2003"/>
    <w:rsid w:val="00FE4FB1"/>
    <w:rsid w:val="00FE4FE5"/>
    <w:rsid w:val="00FE6D05"/>
    <w:rsid w:val="00FE71EF"/>
    <w:rsid w:val="00FE745C"/>
    <w:rsid w:val="00FF1F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698"/>
    <w:pPr>
      <w:spacing w:line="280" w:lineRule="exact"/>
    </w:pPr>
    <w:rPr>
      <w:sz w:val="24"/>
    </w:rPr>
  </w:style>
  <w:style w:type="paragraph" w:styleId="Overskrift1">
    <w:name w:val="heading 1"/>
    <w:basedOn w:val="Normal"/>
    <w:next w:val="Normal"/>
    <w:link w:val="Overskrift1Tegn"/>
    <w:qFormat/>
    <w:rsid w:val="00F35ADE"/>
    <w:pPr>
      <w:keepNext/>
      <w:jc w:val="both"/>
      <w:outlineLvl w:val="0"/>
    </w:pPr>
    <w:rPr>
      <w:b/>
      <w:sz w:val="28"/>
      <w:szCs w:val="28"/>
    </w:rPr>
  </w:style>
  <w:style w:type="paragraph" w:styleId="Overskrift2">
    <w:name w:val="heading 2"/>
    <w:basedOn w:val="Normal"/>
    <w:next w:val="Normal"/>
    <w:link w:val="Overskrift2Tegn"/>
    <w:qFormat/>
    <w:rsid w:val="007E4E50"/>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character" w:customStyle="1" w:styleId="skaktTegn">
    <w:name w:val="skakt Tegn"/>
    <w:link w:val="skakt"/>
    <w:rsid w:val="001E0F97"/>
    <w:rPr>
      <w:rFonts w:ascii="Arial" w:hAnsi="Arial"/>
      <w:sz w:val="15"/>
      <w:lang w:val="da-DK" w:eastAsia="da-DK" w:bidi="ar-SA"/>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link w:val="BrdtekstTegn"/>
    <w:pPr>
      <w:jc w:val="both"/>
    </w:pPr>
  </w:style>
  <w:style w:type="character" w:customStyle="1" w:styleId="BrdtekstTegn">
    <w:name w:val="Brødtekst Tegn"/>
    <w:link w:val="Brdtekst"/>
    <w:rsid w:val="00B05082"/>
    <w:rPr>
      <w:sz w:val="24"/>
      <w:lang w:val="da-DK" w:eastAsia="da-DK" w:bidi="ar-SA"/>
    </w:r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table" w:styleId="Tabel-Gitter">
    <w:name w:val="Table Grid"/>
    <w:basedOn w:val="Tabel-Normal"/>
    <w:rsid w:val="00B0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bokstekst">
    <w:name w:val="Overskrift bokstekst"/>
    <w:basedOn w:val="Bokstekst"/>
    <w:next w:val="Bokstekst"/>
    <w:semiHidden/>
    <w:rsid w:val="00B05082"/>
    <w:rPr>
      <w:b/>
    </w:rPr>
  </w:style>
  <w:style w:type="paragraph" w:customStyle="1" w:styleId="Bokstekst">
    <w:name w:val="Bokstekst"/>
    <w:basedOn w:val="Normal"/>
    <w:rsid w:val="00B05082"/>
    <w:pPr>
      <w:tabs>
        <w:tab w:val="right" w:pos="6521"/>
      </w:tabs>
      <w:spacing w:after="240" w:line="240" w:lineRule="atLeast"/>
      <w:ind w:left="113" w:right="113"/>
    </w:pPr>
    <w:rPr>
      <w:sz w:val="18"/>
      <w:szCs w:val="24"/>
      <w:lang w:eastAsia="en-US"/>
    </w:rPr>
  </w:style>
  <w:style w:type="paragraph" w:customStyle="1" w:styleId="Anmrkning">
    <w:name w:val="Anmærkning"/>
    <w:basedOn w:val="Normal"/>
    <w:semiHidden/>
    <w:rsid w:val="00B05082"/>
    <w:pPr>
      <w:tabs>
        <w:tab w:val="left" w:pos="567"/>
      </w:tabs>
      <w:spacing w:before="20" w:line="180" w:lineRule="atLeast"/>
      <w:ind w:left="567" w:right="113" w:hanging="567"/>
      <w:jc w:val="both"/>
    </w:pPr>
    <w:rPr>
      <w:i/>
      <w:sz w:val="14"/>
      <w:szCs w:val="24"/>
      <w:lang w:eastAsia="en-US"/>
    </w:rPr>
  </w:style>
  <w:style w:type="character" w:customStyle="1" w:styleId="TegnTegn">
    <w:name w:val="Tegn Tegn"/>
    <w:locked/>
    <w:rsid w:val="00341DFD"/>
    <w:rPr>
      <w:sz w:val="24"/>
      <w:lang w:val="da-DK" w:eastAsia="da-DK" w:bidi="ar-SA"/>
    </w:rPr>
  </w:style>
  <w:style w:type="character" w:styleId="Kommentarhenvisning">
    <w:name w:val="annotation reference"/>
    <w:uiPriority w:val="99"/>
    <w:semiHidden/>
    <w:rsid w:val="00955D96"/>
    <w:rPr>
      <w:sz w:val="16"/>
      <w:szCs w:val="16"/>
    </w:rPr>
  </w:style>
  <w:style w:type="paragraph" w:styleId="Kommentartekst">
    <w:name w:val="annotation text"/>
    <w:basedOn w:val="Normal"/>
    <w:link w:val="KommentartekstTegn"/>
    <w:uiPriority w:val="99"/>
    <w:rsid w:val="00955D96"/>
    <w:rPr>
      <w:sz w:val="20"/>
    </w:rPr>
  </w:style>
  <w:style w:type="paragraph" w:styleId="Kommentaremne">
    <w:name w:val="annotation subject"/>
    <w:basedOn w:val="Kommentartekst"/>
    <w:next w:val="Kommentartekst"/>
    <w:semiHidden/>
    <w:rsid w:val="00955D96"/>
    <w:rPr>
      <w:b/>
      <w:bCs/>
    </w:rPr>
  </w:style>
  <w:style w:type="paragraph" w:styleId="Markeringsbobletekst">
    <w:name w:val="Balloon Text"/>
    <w:basedOn w:val="Normal"/>
    <w:semiHidden/>
    <w:rsid w:val="00955D96"/>
    <w:rPr>
      <w:rFonts w:ascii="Tahoma" w:hAnsi="Tahoma" w:cs="Tahoma"/>
      <w:sz w:val="16"/>
      <w:szCs w:val="16"/>
    </w:rPr>
  </w:style>
  <w:style w:type="table" w:styleId="Tabel-Liste4">
    <w:name w:val="Table List 4"/>
    <w:basedOn w:val="Tabel-Normal"/>
    <w:rsid w:val="004C374B"/>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Overskrift1Tegn">
    <w:name w:val="Overskrift 1 Tegn"/>
    <w:link w:val="Overskrift1"/>
    <w:rsid w:val="00F35ADE"/>
    <w:rPr>
      <w:b/>
      <w:sz w:val="28"/>
      <w:szCs w:val="28"/>
    </w:rPr>
  </w:style>
  <w:style w:type="paragraph" w:styleId="Billedtekst">
    <w:name w:val="caption"/>
    <w:basedOn w:val="Normal"/>
    <w:next w:val="Normal"/>
    <w:unhideWhenUsed/>
    <w:qFormat/>
    <w:rsid w:val="007A29AE"/>
    <w:rPr>
      <w:b/>
      <w:bCs/>
      <w:sz w:val="20"/>
    </w:rPr>
  </w:style>
  <w:style w:type="character" w:customStyle="1" w:styleId="KommentartekstTegn">
    <w:name w:val="Kommentartekst Tegn"/>
    <w:link w:val="Kommentartekst"/>
    <w:uiPriority w:val="99"/>
    <w:rsid w:val="0070658B"/>
  </w:style>
  <w:style w:type="paragraph" w:customStyle="1" w:styleId="paragraf">
    <w:name w:val="paragraf"/>
    <w:basedOn w:val="Normal"/>
    <w:rsid w:val="00AC752C"/>
    <w:pPr>
      <w:spacing w:before="200" w:line="240" w:lineRule="auto"/>
      <w:ind w:firstLine="240"/>
    </w:pPr>
    <w:rPr>
      <w:rFonts w:ascii="Tahoma" w:hAnsi="Tahoma" w:cs="Tahoma"/>
      <w:color w:val="000000"/>
      <w:szCs w:val="24"/>
    </w:rPr>
  </w:style>
  <w:style w:type="paragraph" w:customStyle="1" w:styleId="liste1">
    <w:name w:val="liste1"/>
    <w:basedOn w:val="Normal"/>
    <w:rsid w:val="00AC752C"/>
    <w:pPr>
      <w:spacing w:line="240" w:lineRule="auto"/>
      <w:ind w:left="280"/>
    </w:pPr>
    <w:rPr>
      <w:rFonts w:ascii="Tahoma" w:hAnsi="Tahoma" w:cs="Tahoma"/>
      <w:color w:val="000000"/>
      <w:szCs w:val="24"/>
    </w:rPr>
  </w:style>
  <w:style w:type="character" w:customStyle="1" w:styleId="paragrafnr1">
    <w:name w:val="paragrafnr1"/>
    <w:rsid w:val="00AC752C"/>
    <w:rPr>
      <w:rFonts w:ascii="Tahoma" w:hAnsi="Tahoma" w:cs="Tahoma" w:hint="default"/>
      <w:b/>
      <w:bCs/>
      <w:color w:val="000000"/>
      <w:sz w:val="24"/>
      <w:szCs w:val="24"/>
      <w:shd w:val="clear" w:color="auto" w:fill="auto"/>
    </w:rPr>
  </w:style>
  <w:style w:type="character" w:customStyle="1" w:styleId="liste1nr1">
    <w:name w:val="liste1nr1"/>
    <w:rsid w:val="00AC752C"/>
    <w:rPr>
      <w:rFonts w:ascii="Tahoma" w:hAnsi="Tahoma" w:cs="Tahoma" w:hint="default"/>
      <w:color w:val="000000"/>
      <w:sz w:val="24"/>
      <w:szCs w:val="24"/>
      <w:shd w:val="clear" w:color="auto" w:fill="auto"/>
    </w:rPr>
  </w:style>
  <w:style w:type="character" w:customStyle="1" w:styleId="Overskrift2Tegn">
    <w:name w:val="Overskrift 2 Tegn"/>
    <w:link w:val="Overskrift2"/>
    <w:rsid w:val="007E4E50"/>
    <w:rPr>
      <w:rFonts w:ascii="Arial" w:hAnsi="Arial" w:cs="Arial"/>
      <w:b/>
      <w:bCs/>
      <w:i/>
      <w:iCs/>
      <w:sz w:val="28"/>
      <w:szCs w:val="28"/>
    </w:rPr>
  </w:style>
  <w:style w:type="paragraph" w:styleId="Fodnotetekst">
    <w:name w:val="footnote text"/>
    <w:basedOn w:val="Normal"/>
    <w:link w:val="FodnotetekstTegn"/>
    <w:rsid w:val="007E4E50"/>
    <w:rPr>
      <w:sz w:val="20"/>
    </w:rPr>
  </w:style>
  <w:style w:type="character" w:customStyle="1" w:styleId="FodnotetekstTegn">
    <w:name w:val="Fodnotetekst Tegn"/>
    <w:basedOn w:val="Standardskrifttypeiafsnit"/>
    <w:link w:val="Fodnotetekst"/>
    <w:rsid w:val="007E4E50"/>
  </w:style>
  <w:style w:type="character" w:styleId="Fodnotehenvisning">
    <w:name w:val="footnote reference"/>
    <w:rsid w:val="007E4E50"/>
    <w:rPr>
      <w:vertAlign w:val="superscript"/>
    </w:rPr>
  </w:style>
  <w:style w:type="paragraph" w:customStyle="1" w:styleId="stk2">
    <w:name w:val="stk2"/>
    <w:basedOn w:val="Normal"/>
    <w:rsid w:val="007E4E50"/>
    <w:pPr>
      <w:spacing w:line="240" w:lineRule="auto"/>
      <w:ind w:firstLine="240"/>
    </w:pPr>
    <w:rPr>
      <w:rFonts w:ascii="Tahoma" w:hAnsi="Tahoma" w:cs="Tahoma"/>
      <w:color w:val="000000"/>
      <w:szCs w:val="24"/>
    </w:rPr>
  </w:style>
  <w:style w:type="character" w:customStyle="1" w:styleId="stknr1">
    <w:name w:val="stknr1"/>
    <w:rsid w:val="007E4E50"/>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7E4E50"/>
    <w:pPr>
      <w:ind w:left="720"/>
      <w:contextualSpacing/>
    </w:pPr>
  </w:style>
  <w:style w:type="paragraph" w:styleId="Korrektur">
    <w:name w:val="Revision"/>
    <w:hidden/>
    <w:uiPriority w:val="99"/>
    <w:semiHidden/>
    <w:rsid w:val="007E4E50"/>
    <w:rPr>
      <w:sz w:val="24"/>
    </w:rPr>
  </w:style>
  <w:style w:type="paragraph" w:styleId="Slutnotetekst">
    <w:name w:val="endnote text"/>
    <w:basedOn w:val="Normal"/>
    <w:link w:val="SlutnotetekstTegn"/>
    <w:rsid w:val="007E4E50"/>
    <w:pPr>
      <w:spacing w:line="240" w:lineRule="auto"/>
    </w:pPr>
    <w:rPr>
      <w:sz w:val="20"/>
    </w:rPr>
  </w:style>
  <w:style w:type="character" w:customStyle="1" w:styleId="SlutnotetekstTegn">
    <w:name w:val="Slutnotetekst Tegn"/>
    <w:basedOn w:val="Standardskrifttypeiafsnit"/>
    <w:link w:val="Slutnotetekst"/>
    <w:rsid w:val="007E4E50"/>
  </w:style>
  <w:style w:type="character" w:styleId="Slutnotehenvisning">
    <w:name w:val="endnote reference"/>
    <w:rsid w:val="007E4E50"/>
    <w:rPr>
      <w:vertAlign w:val="superscript"/>
    </w:rPr>
  </w:style>
  <w:style w:type="paragraph" w:styleId="Overskrift">
    <w:name w:val="TOC Heading"/>
    <w:basedOn w:val="Overskrift1"/>
    <w:next w:val="Normal"/>
    <w:uiPriority w:val="39"/>
    <w:semiHidden/>
    <w:unhideWhenUsed/>
    <w:qFormat/>
    <w:rsid w:val="00F9644C"/>
    <w:pPr>
      <w:keepLines/>
      <w:spacing w:before="480" w:line="276" w:lineRule="auto"/>
      <w:jc w:val="left"/>
      <w:outlineLvl w:val="9"/>
    </w:pPr>
    <w:rPr>
      <w:rFonts w:ascii="Cambria" w:hAnsi="Cambria"/>
      <w:bCs/>
      <w:color w:val="365F91"/>
    </w:rPr>
  </w:style>
  <w:style w:type="paragraph" w:styleId="Indholdsfortegnelse1">
    <w:name w:val="toc 1"/>
    <w:basedOn w:val="Normal"/>
    <w:next w:val="Normal"/>
    <w:autoRedefine/>
    <w:uiPriority w:val="39"/>
    <w:qFormat/>
    <w:rsid w:val="00F9644C"/>
  </w:style>
  <w:style w:type="table" w:styleId="Tabel-3D-effekter2">
    <w:name w:val="Table 3D effects 2"/>
    <w:basedOn w:val="Tabel-Normal"/>
    <w:rsid w:val="008339F9"/>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1">
    <w:name w:val="Table 3D effects 1"/>
    <w:basedOn w:val="Tabel-Normal"/>
    <w:rsid w:val="00DD28DF"/>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nkelt3">
    <w:name w:val="Table Simple 3"/>
    <w:basedOn w:val="Tabel-Normal"/>
    <w:rsid w:val="00DD28DF"/>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2">
    <w:name w:val="Table Colorful 2"/>
    <w:basedOn w:val="Tabel-Normal"/>
    <w:rsid w:val="00DD28DF"/>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Kraftighenvisning">
    <w:name w:val="Intense Reference"/>
    <w:uiPriority w:val="32"/>
    <w:qFormat/>
    <w:rsid w:val="00DD28DF"/>
    <w:rPr>
      <w:bCs/>
      <w:color w:val="7030A0"/>
    </w:rPr>
  </w:style>
  <w:style w:type="character" w:styleId="Svaghenvisning">
    <w:name w:val="Subtle Reference"/>
    <w:uiPriority w:val="31"/>
    <w:qFormat/>
    <w:rsid w:val="00DD28DF"/>
    <w:rPr>
      <w:smallCaps/>
      <w:color w:val="C0504D"/>
      <w:u w:val="single"/>
    </w:rPr>
  </w:style>
  <w:style w:type="character" w:styleId="Strk">
    <w:name w:val="Strong"/>
    <w:qFormat/>
    <w:rsid w:val="00535800"/>
    <w:rPr>
      <w:bCs/>
      <w:color w:val="0070C0"/>
    </w:rPr>
  </w:style>
  <w:style w:type="table" w:styleId="Farvetskygge-fremhvningsfarve6">
    <w:name w:val="Colorful Shading Accent 6"/>
    <w:basedOn w:val="Tabel-Normal"/>
    <w:uiPriority w:val="71"/>
    <w:rsid w:val="004236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Indholdsfortegnelse2">
    <w:name w:val="toc 2"/>
    <w:basedOn w:val="Normal"/>
    <w:next w:val="Normal"/>
    <w:autoRedefine/>
    <w:uiPriority w:val="39"/>
    <w:unhideWhenUsed/>
    <w:qFormat/>
    <w:rsid w:val="00535800"/>
    <w:pPr>
      <w:spacing w:after="100" w:line="276" w:lineRule="auto"/>
      <w:ind w:left="220"/>
    </w:pPr>
    <w:rPr>
      <w:rFonts w:ascii="Calibri" w:hAnsi="Calibri"/>
      <w:sz w:val="22"/>
      <w:szCs w:val="22"/>
    </w:rPr>
  </w:style>
  <w:style w:type="paragraph" w:styleId="Indholdsfortegnelse3">
    <w:name w:val="toc 3"/>
    <w:basedOn w:val="Normal"/>
    <w:next w:val="Normal"/>
    <w:autoRedefine/>
    <w:uiPriority w:val="39"/>
    <w:unhideWhenUsed/>
    <w:qFormat/>
    <w:rsid w:val="00535800"/>
    <w:pPr>
      <w:spacing w:after="100" w:line="276" w:lineRule="auto"/>
      <w:ind w:left="440"/>
    </w:pPr>
    <w:rPr>
      <w:rFonts w:ascii="Calibri" w:hAnsi="Calibri"/>
      <w:sz w:val="22"/>
      <w:szCs w:val="22"/>
    </w:rPr>
  </w:style>
  <w:style w:type="paragraph" w:styleId="Indholdsfortegnelse4">
    <w:name w:val="toc 4"/>
    <w:basedOn w:val="Normal"/>
    <w:next w:val="Normal"/>
    <w:autoRedefine/>
    <w:rsid w:val="002125F5"/>
    <w:pPr>
      <w:ind w:left="720"/>
    </w:pPr>
  </w:style>
  <w:style w:type="paragraph" w:styleId="Indholdsfortegnelse5">
    <w:name w:val="toc 5"/>
    <w:basedOn w:val="Normal"/>
    <w:next w:val="Normal"/>
    <w:autoRedefine/>
    <w:rsid w:val="002125F5"/>
    <w:pPr>
      <w:ind w:left="960"/>
    </w:pPr>
  </w:style>
  <w:style w:type="paragraph" w:styleId="Indholdsfortegnelse6">
    <w:name w:val="toc 6"/>
    <w:basedOn w:val="Normal"/>
    <w:next w:val="Normal"/>
    <w:autoRedefine/>
    <w:rsid w:val="002125F5"/>
    <w:pPr>
      <w:ind w:left="1200"/>
    </w:pPr>
  </w:style>
  <w:style w:type="paragraph" w:styleId="Indholdsfortegnelse7">
    <w:name w:val="toc 7"/>
    <w:basedOn w:val="Normal"/>
    <w:next w:val="Normal"/>
    <w:autoRedefine/>
    <w:rsid w:val="002125F5"/>
    <w:pPr>
      <w:ind w:left="1440"/>
    </w:pPr>
  </w:style>
  <w:style w:type="paragraph" w:styleId="Indholdsfortegnelse8">
    <w:name w:val="toc 8"/>
    <w:basedOn w:val="Normal"/>
    <w:next w:val="Normal"/>
    <w:autoRedefine/>
    <w:rsid w:val="002125F5"/>
    <w:pPr>
      <w:ind w:left="1680"/>
    </w:pPr>
  </w:style>
  <w:style w:type="paragraph" w:styleId="Indholdsfortegnelse9">
    <w:name w:val="toc 9"/>
    <w:basedOn w:val="Normal"/>
    <w:next w:val="Normal"/>
    <w:autoRedefine/>
    <w:rsid w:val="002125F5"/>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698"/>
    <w:pPr>
      <w:spacing w:line="280" w:lineRule="exact"/>
    </w:pPr>
    <w:rPr>
      <w:sz w:val="24"/>
    </w:rPr>
  </w:style>
  <w:style w:type="paragraph" w:styleId="Overskrift1">
    <w:name w:val="heading 1"/>
    <w:basedOn w:val="Normal"/>
    <w:next w:val="Normal"/>
    <w:link w:val="Overskrift1Tegn"/>
    <w:qFormat/>
    <w:rsid w:val="00F35ADE"/>
    <w:pPr>
      <w:keepNext/>
      <w:jc w:val="both"/>
      <w:outlineLvl w:val="0"/>
    </w:pPr>
    <w:rPr>
      <w:b/>
      <w:sz w:val="28"/>
      <w:szCs w:val="28"/>
    </w:rPr>
  </w:style>
  <w:style w:type="paragraph" w:styleId="Overskrift2">
    <w:name w:val="heading 2"/>
    <w:basedOn w:val="Normal"/>
    <w:next w:val="Normal"/>
    <w:link w:val="Overskrift2Tegn"/>
    <w:qFormat/>
    <w:rsid w:val="007E4E50"/>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character" w:customStyle="1" w:styleId="skaktTegn">
    <w:name w:val="skakt Tegn"/>
    <w:link w:val="skakt"/>
    <w:rsid w:val="001E0F97"/>
    <w:rPr>
      <w:rFonts w:ascii="Arial" w:hAnsi="Arial"/>
      <w:sz w:val="15"/>
      <w:lang w:val="da-DK" w:eastAsia="da-DK" w:bidi="ar-SA"/>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link w:val="BrdtekstTegn"/>
    <w:pPr>
      <w:jc w:val="both"/>
    </w:pPr>
  </w:style>
  <w:style w:type="character" w:customStyle="1" w:styleId="BrdtekstTegn">
    <w:name w:val="Brødtekst Tegn"/>
    <w:link w:val="Brdtekst"/>
    <w:rsid w:val="00B05082"/>
    <w:rPr>
      <w:sz w:val="24"/>
      <w:lang w:val="da-DK" w:eastAsia="da-DK" w:bidi="ar-SA"/>
    </w:r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table" w:styleId="Tabel-Gitter">
    <w:name w:val="Table Grid"/>
    <w:basedOn w:val="Tabel-Normal"/>
    <w:rsid w:val="00B0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bokstekst">
    <w:name w:val="Overskrift bokstekst"/>
    <w:basedOn w:val="Bokstekst"/>
    <w:next w:val="Bokstekst"/>
    <w:semiHidden/>
    <w:rsid w:val="00B05082"/>
    <w:rPr>
      <w:b/>
    </w:rPr>
  </w:style>
  <w:style w:type="paragraph" w:customStyle="1" w:styleId="Bokstekst">
    <w:name w:val="Bokstekst"/>
    <w:basedOn w:val="Normal"/>
    <w:rsid w:val="00B05082"/>
    <w:pPr>
      <w:tabs>
        <w:tab w:val="right" w:pos="6521"/>
      </w:tabs>
      <w:spacing w:after="240" w:line="240" w:lineRule="atLeast"/>
      <w:ind w:left="113" w:right="113"/>
    </w:pPr>
    <w:rPr>
      <w:sz w:val="18"/>
      <w:szCs w:val="24"/>
      <w:lang w:eastAsia="en-US"/>
    </w:rPr>
  </w:style>
  <w:style w:type="paragraph" w:customStyle="1" w:styleId="Anmrkning">
    <w:name w:val="Anmærkning"/>
    <w:basedOn w:val="Normal"/>
    <w:semiHidden/>
    <w:rsid w:val="00B05082"/>
    <w:pPr>
      <w:tabs>
        <w:tab w:val="left" w:pos="567"/>
      </w:tabs>
      <w:spacing w:before="20" w:line="180" w:lineRule="atLeast"/>
      <w:ind w:left="567" w:right="113" w:hanging="567"/>
      <w:jc w:val="both"/>
    </w:pPr>
    <w:rPr>
      <w:i/>
      <w:sz w:val="14"/>
      <w:szCs w:val="24"/>
      <w:lang w:eastAsia="en-US"/>
    </w:rPr>
  </w:style>
  <w:style w:type="character" w:customStyle="1" w:styleId="TegnTegn">
    <w:name w:val="Tegn Tegn"/>
    <w:locked/>
    <w:rsid w:val="00341DFD"/>
    <w:rPr>
      <w:sz w:val="24"/>
      <w:lang w:val="da-DK" w:eastAsia="da-DK" w:bidi="ar-SA"/>
    </w:rPr>
  </w:style>
  <w:style w:type="character" w:styleId="Kommentarhenvisning">
    <w:name w:val="annotation reference"/>
    <w:uiPriority w:val="99"/>
    <w:semiHidden/>
    <w:rsid w:val="00955D96"/>
    <w:rPr>
      <w:sz w:val="16"/>
      <w:szCs w:val="16"/>
    </w:rPr>
  </w:style>
  <w:style w:type="paragraph" w:styleId="Kommentartekst">
    <w:name w:val="annotation text"/>
    <w:basedOn w:val="Normal"/>
    <w:link w:val="KommentartekstTegn"/>
    <w:uiPriority w:val="99"/>
    <w:rsid w:val="00955D96"/>
    <w:rPr>
      <w:sz w:val="20"/>
    </w:rPr>
  </w:style>
  <w:style w:type="paragraph" w:styleId="Kommentaremne">
    <w:name w:val="annotation subject"/>
    <w:basedOn w:val="Kommentartekst"/>
    <w:next w:val="Kommentartekst"/>
    <w:semiHidden/>
    <w:rsid w:val="00955D96"/>
    <w:rPr>
      <w:b/>
      <w:bCs/>
    </w:rPr>
  </w:style>
  <w:style w:type="paragraph" w:styleId="Markeringsbobletekst">
    <w:name w:val="Balloon Text"/>
    <w:basedOn w:val="Normal"/>
    <w:semiHidden/>
    <w:rsid w:val="00955D96"/>
    <w:rPr>
      <w:rFonts w:ascii="Tahoma" w:hAnsi="Tahoma" w:cs="Tahoma"/>
      <w:sz w:val="16"/>
      <w:szCs w:val="16"/>
    </w:rPr>
  </w:style>
  <w:style w:type="table" w:styleId="Tabel-Liste4">
    <w:name w:val="Table List 4"/>
    <w:basedOn w:val="Tabel-Normal"/>
    <w:rsid w:val="004C374B"/>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Overskrift1Tegn">
    <w:name w:val="Overskrift 1 Tegn"/>
    <w:link w:val="Overskrift1"/>
    <w:rsid w:val="00F35ADE"/>
    <w:rPr>
      <w:b/>
      <w:sz w:val="28"/>
      <w:szCs w:val="28"/>
    </w:rPr>
  </w:style>
  <w:style w:type="paragraph" w:styleId="Billedtekst">
    <w:name w:val="caption"/>
    <w:basedOn w:val="Normal"/>
    <w:next w:val="Normal"/>
    <w:unhideWhenUsed/>
    <w:qFormat/>
    <w:rsid w:val="007A29AE"/>
    <w:rPr>
      <w:b/>
      <w:bCs/>
      <w:sz w:val="20"/>
    </w:rPr>
  </w:style>
  <w:style w:type="character" w:customStyle="1" w:styleId="KommentartekstTegn">
    <w:name w:val="Kommentartekst Tegn"/>
    <w:link w:val="Kommentartekst"/>
    <w:uiPriority w:val="99"/>
    <w:rsid w:val="0070658B"/>
  </w:style>
  <w:style w:type="paragraph" w:customStyle="1" w:styleId="paragraf">
    <w:name w:val="paragraf"/>
    <w:basedOn w:val="Normal"/>
    <w:rsid w:val="00AC752C"/>
    <w:pPr>
      <w:spacing w:before="200" w:line="240" w:lineRule="auto"/>
      <w:ind w:firstLine="240"/>
    </w:pPr>
    <w:rPr>
      <w:rFonts w:ascii="Tahoma" w:hAnsi="Tahoma" w:cs="Tahoma"/>
      <w:color w:val="000000"/>
      <w:szCs w:val="24"/>
    </w:rPr>
  </w:style>
  <w:style w:type="paragraph" w:customStyle="1" w:styleId="liste1">
    <w:name w:val="liste1"/>
    <w:basedOn w:val="Normal"/>
    <w:rsid w:val="00AC752C"/>
    <w:pPr>
      <w:spacing w:line="240" w:lineRule="auto"/>
      <w:ind w:left="280"/>
    </w:pPr>
    <w:rPr>
      <w:rFonts w:ascii="Tahoma" w:hAnsi="Tahoma" w:cs="Tahoma"/>
      <w:color w:val="000000"/>
      <w:szCs w:val="24"/>
    </w:rPr>
  </w:style>
  <w:style w:type="character" w:customStyle="1" w:styleId="paragrafnr1">
    <w:name w:val="paragrafnr1"/>
    <w:rsid w:val="00AC752C"/>
    <w:rPr>
      <w:rFonts w:ascii="Tahoma" w:hAnsi="Tahoma" w:cs="Tahoma" w:hint="default"/>
      <w:b/>
      <w:bCs/>
      <w:color w:val="000000"/>
      <w:sz w:val="24"/>
      <w:szCs w:val="24"/>
      <w:shd w:val="clear" w:color="auto" w:fill="auto"/>
    </w:rPr>
  </w:style>
  <w:style w:type="character" w:customStyle="1" w:styleId="liste1nr1">
    <w:name w:val="liste1nr1"/>
    <w:rsid w:val="00AC752C"/>
    <w:rPr>
      <w:rFonts w:ascii="Tahoma" w:hAnsi="Tahoma" w:cs="Tahoma" w:hint="default"/>
      <w:color w:val="000000"/>
      <w:sz w:val="24"/>
      <w:szCs w:val="24"/>
      <w:shd w:val="clear" w:color="auto" w:fill="auto"/>
    </w:rPr>
  </w:style>
  <w:style w:type="character" w:customStyle="1" w:styleId="Overskrift2Tegn">
    <w:name w:val="Overskrift 2 Tegn"/>
    <w:link w:val="Overskrift2"/>
    <w:rsid w:val="007E4E50"/>
    <w:rPr>
      <w:rFonts w:ascii="Arial" w:hAnsi="Arial" w:cs="Arial"/>
      <w:b/>
      <w:bCs/>
      <w:i/>
      <w:iCs/>
      <w:sz w:val="28"/>
      <w:szCs w:val="28"/>
    </w:rPr>
  </w:style>
  <w:style w:type="paragraph" w:styleId="Fodnotetekst">
    <w:name w:val="footnote text"/>
    <w:basedOn w:val="Normal"/>
    <w:link w:val="FodnotetekstTegn"/>
    <w:rsid w:val="007E4E50"/>
    <w:rPr>
      <w:sz w:val="20"/>
    </w:rPr>
  </w:style>
  <w:style w:type="character" w:customStyle="1" w:styleId="FodnotetekstTegn">
    <w:name w:val="Fodnotetekst Tegn"/>
    <w:basedOn w:val="Standardskrifttypeiafsnit"/>
    <w:link w:val="Fodnotetekst"/>
    <w:rsid w:val="007E4E50"/>
  </w:style>
  <w:style w:type="character" w:styleId="Fodnotehenvisning">
    <w:name w:val="footnote reference"/>
    <w:rsid w:val="007E4E50"/>
    <w:rPr>
      <w:vertAlign w:val="superscript"/>
    </w:rPr>
  </w:style>
  <w:style w:type="paragraph" w:customStyle="1" w:styleId="stk2">
    <w:name w:val="stk2"/>
    <w:basedOn w:val="Normal"/>
    <w:rsid w:val="007E4E50"/>
    <w:pPr>
      <w:spacing w:line="240" w:lineRule="auto"/>
      <w:ind w:firstLine="240"/>
    </w:pPr>
    <w:rPr>
      <w:rFonts w:ascii="Tahoma" w:hAnsi="Tahoma" w:cs="Tahoma"/>
      <w:color w:val="000000"/>
      <w:szCs w:val="24"/>
    </w:rPr>
  </w:style>
  <w:style w:type="character" w:customStyle="1" w:styleId="stknr1">
    <w:name w:val="stknr1"/>
    <w:rsid w:val="007E4E50"/>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7E4E50"/>
    <w:pPr>
      <w:ind w:left="720"/>
      <w:contextualSpacing/>
    </w:pPr>
  </w:style>
  <w:style w:type="paragraph" w:styleId="Korrektur">
    <w:name w:val="Revision"/>
    <w:hidden/>
    <w:uiPriority w:val="99"/>
    <w:semiHidden/>
    <w:rsid w:val="007E4E50"/>
    <w:rPr>
      <w:sz w:val="24"/>
    </w:rPr>
  </w:style>
  <w:style w:type="paragraph" w:styleId="Slutnotetekst">
    <w:name w:val="endnote text"/>
    <w:basedOn w:val="Normal"/>
    <w:link w:val="SlutnotetekstTegn"/>
    <w:rsid w:val="007E4E50"/>
    <w:pPr>
      <w:spacing w:line="240" w:lineRule="auto"/>
    </w:pPr>
    <w:rPr>
      <w:sz w:val="20"/>
    </w:rPr>
  </w:style>
  <w:style w:type="character" w:customStyle="1" w:styleId="SlutnotetekstTegn">
    <w:name w:val="Slutnotetekst Tegn"/>
    <w:basedOn w:val="Standardskrifttypeiafsnit"/>
    <w:link w:val="Slutnotetekst"/>
    <w:rsid w:val="007E4E50"/>
  </w:style>
  <w:style w:type="character" w:styleId="Slutnotehenvisning">
    <w:name w:val="endnote reference"/>
    <w:rsid w:val="007E4E50"/>
    <w:rPr>
      <w:vertAlign w:val="superscript"/>
    </w:rPr>
  </w:style>
  <w:style w:type="paragraph" w:styleId="Overskrift">
    <w:name w:val="TOC Heading"/>
    <w:basedOn w:val="Overskrift1"/>
    <w:next w:val="Normal"/>
    <w:uiPriority w:val="39"/>
    <w:semiHidden/>
    <w:unhideWhenUsed/>
    <w:qFormat/>
    <w:rsid w:val="00F9644C"/>
    <w:pPr>
      <w:keepLines/>
      <w:spacing w:before="480" w:line="276" w:lineRule="auto"/>
      <w:jc w:val="left"/>
      <w:outlineLvl w:val="9"/>
    </w:pPr>
    <w:rPr>
      <w:rFonts w:ascii="Cambria" w:hAnsi="Cambria"/>
      <w:bCs/>
      <w:color w:val="365F91"/>
    </w:rPr>
  </w:style>
  <w:style w:type="paragraph" w:styleId="Indholdsfortegnelse1">
    <w:name w:val="toc 1"/>
    <w:basedOn w:val="Normal"/>
    <w:next w:val="Normal"/>
    <w:autoRedefine/>
    <w:uiPriority w:val="39"/>
    <w:qFormat/>
    <w:rsid w:val="00F9644C"/>
  </w:style>
  <w:style w:type="table" w:styleId="Tabel-3D-effekter2">
    <w:name w:val="Table 3D effects 2"/>
    <w:basedOn w:val="Tabel-Normal"/>
    <w:rsid w:val="008339F9"/>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1">
    <w:name w:val="Table 3D effects 1"/>
    <w:basedOn w:val="Tabel-Normal"/>
    <w:rsid w:val="00DD28DF"/>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nkelt3">
    <w:name w:val="Table Simple 3"/>
    <w:basedOn w:val="Tabel-Normal"/>
    <w:rsid w:val="00DD28DF"/>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2">
    <w:name w:val="Table Colorful 2"/>
    <w:basedOn w:val="Tabel-Normal"/>
    <w:rsid w:val="00DD28DF"/>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Kraftighenvisning">
    <w:name w:val="Intense Reference"/>
    <w:uiPriority w:val="32"/>
    <w:qFormat/>
    <w:rsid w:val="00DD28DF"/>
    <w:rPr>
      <w:bCs/>
      <w:color w:val="7030A0"/>
    </w:rPr>
  </w:style>
  <w:style w:type="character" w:styleId="Svaghenvisning">
    <w:name w:val="Subtle Reference"/>
    <w:uiPriority w:val="31"/>
    <w:qFormat/>
    <w:rsid w:val="00DD28DF"/>
    <w:rPr>
      <w:smallCaps/>
      <w:color w:val="C0504D"/>
      <w:u w:val="single"/>
    </w:rPr>
  </w:style>
  <w:style w:type="character" w:styleId="Strk">
    <w:name w:val="Strong"/>
    <w:qFormat/>
    <w:rsid w:val="00535800"/>
    <w:rPr>
      <w:bCs/>
      <w:color w:val="0070C0"/>
    </w:rPr>
  </w:style>
  <w:style w:type="table" w:styleId="Farvetskygge-fremhvningsfarve6">
    <w:name w:val="Colorful Shading Accent 6"/>
    <w:basedOn w:val="Tabel-Normal"/>
    <w:uiPriority w:val="71"/>
    <w:rsid w:val="0042369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Indholdsfortegnelse2">
    <w:name w:val="toc 2"/>
    <w:basedOn w:val="Normal"/>
    <w:next w:val="Normal"/>
    <w:autoRedefine/>
    <w:uiPriority w:val="39"/>
    <w:unhideWhenUsed/>
    <w:qFormat/>
    <w:rsid w:val="00535800"/>
    <w:pPr>
      <w:spacing w:after="100" w:line="276" w:lineRule="auto"/>
      <w:ind w:left="220"/>
    </w:pPr>
    <w:rPr>
      <w:rFonts w:ascii="Calibri" w:hAnsi="Calibri"/>
      <w:sz w:val="22"/>
      <w:szCs w:val="22"/>
    </w:rPr>
  </w:style>
  <w:style w:type="paragraph" w:styleId="Indholdsfortegnelse3">
    <w:name w:val="toc 3"/>
    <w:basedOn w:val="Normal"/>
    <w:next w:val="Normal"/>
    <w:autoRedefine/>
    <w:uiPriority w:val="39"/>
    <w:unhideWhenUsed/>
    <w:qFormat/>
    <w:rsid w:val="00535800"/>
    <w:pPr>
      <w:spacing w:after="100" w:line="276" w:lineRule="auto"/>
      <w:ind w:left="440"/>
    </w:pPr>
    <w:rPr>
      <w:rFonts w:ascii="Calibri" w:hAnsi="Calibri"/>
      <w:sz w:val="22"/>
      <w:szCs w:val="22"/>
    </w:rPr>
  </w:style>
  <w:style w:type="paragraph" w:styleId="Indholdsfortegnelse4">
    <w:name w:val="toc 4"/>
    <w:basedOn w:val="Normal"/>
    <w:next w:val="Normal"/>
    <w:autoRedefine/>
    <w:rsid w:val="002125F5"/>
    <w:pPr>
      <w:ind w:left="720"/>
    </w:pPr>
  </w:style>
  <w:style w:type="paragraph" w:styleId="Indholdsfortegnelse5">
    <w:name w:val="toc 5"/>
    <w:basedOn w:val="Normal"/>
    <w:next w:val="Normal"/>
    <w:autoRedefine/>
    <w:rsid w:val="002125F5"/>
    <w:pPr>
      <w:ind w:left="960"/>
    </w:pPr>
  </w:style>
  <w:style w:type="paragraph" w:styleId="Indholdsfortegnelse6">
    <w:name w:val="toc 6"/>
    <w:basedOn w:val="Normal"/>
    <w:next w:val="Normal"/>
    <w:autoRedefine/>
    <w:rsid w:val="002125F5"/>
    <w:pPr>
      <w:ind w:left="1200"/>
    </w:pPr>
  </w:style>
  <w:style w:type="paragraph" w:styleId="Indholdsfortegnelse7">
    <w:name w:val="toc 7"/>
    <w:basedOn w:val="Normal"/>
    <w:next w:val="Normal"/>
    <w:autoRedefine/>
    <w:rsid w:val="002125F5"/>
    <w:pPr>
      <w:ind w:left="1440"/>
    </w:pPr>
  </w:style>
  <w:style w:type="paragraph" w:styleId="Indholdsfortegnelse8">
    <w:name w:val="toc 8"/>
    <w:basedOn w:val="Normal"/>
    <w:next w:val="Normal"/>
    <w:autoRedefine/>
    <w:rsid w:val="002125F5"/>
    <w:pPr>
      <w:ind w:left="1680"/>
    </w:pPr>
  </w:style>
  <w:style w:type="paragraph" w:styleId="Indholdsfortegnelse9">
    <w:name w:val="toc 9"/>
    <w:basedOn w:val="Normal"/>
    <w:next w:val="Normal"/>
    <w:autoRedefine/>
    <w:rsid w:val="002125F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349">
      <w:bodyDiv w:val="1"/>
      <w:marLeft w:val="0"/>
      <w:marRight w:val="0"/>
      <w:marTop w:val="0"/>
      <w:marBottom w:val="0"/>
      <w:divBdr>
        <w:top w:val="none" w:sz="0" w:space="0" w:color="auto"/>
        <w:left w:val="none" w:sz="0" w:space="0" w:color="auto"/>
        <w:bottom w:val="none" w:sz="0" w:space="0" w:color="auto"/>
        <w:right w:val="none" w:sz="0" w:space="0" w:color="auto"/>
      </w:divBdr>
    </w:div>
    <w:div w:id="269431204">
      <w:bodyDiv w:val="1"/>
      <w:marLeft w:val="0"/>
      <w:marRight w:val="0"/>
      <w:marTop w:val="0"/>
      <w:marBottom w:val="0"/>
      <w:divBdr>
        <w:top w:val="none" w:sz="0" w:space="0" w:color="auto"/>
        <w:left w:val="none" w:sz="0" w:space="0" w:color="auto"/>
        <w:bottom w:val="none" w:sz="0" w:space="0" w:color="auto"/>
        <w:right w:val="none" w:sz="0" w:space="0" w:color="auto"/>
      </w:divBdr>
    </w:div>
    <w:div w:id="290980781">
      <w:bodyDiv w:val="1"/>
      <w:marLeft w:val="0"/>
      <w:marRight w:val="0"/>
      <w:marTop w:val="0"/>
      <w:marBottom w:val="0"/>
      <w:divBdr>
        <w:top w:val="none" w:sz="0" w:space="0" w:color="auto"/>
        <w:left w:val="none" w:sz="0" w:space="0" w:color="auto"/>
        <w:bottom w:val="none" w:sz="0" w:space="0" w:color="auto"/>
        <w:right w:val="none" w:sz="0" w:space="0" w:color="auto"/>
      </w:divBdr>
    </w:div>
    <w:div w:id="620068394">
      <w:bodyDiv w:val="1"/>
      <w:marLeft w:val="0"/>
      <w:marRight w:val="0"/>
      <w:marTop w:val="0"/>
      <w:marBottom w:val="0"/>
      <w:divBdr>
        <w:top w:val="none" w:sz="0" w:space="0" w:color="auto"/>
        <w:left w:val="none" w:sz="0" w:space="0" w:color="auto"/>
        <w:bottom w:val="none" w:sz="0" w:space="0" w:color="auto"/>
        <w:right w:val="none" w:sz="0" w:space="0" w:color="auto"/>
      </w:divBdr>
      <w:divsChild>
        <w:div w:id="1956862306">
          <w:marLeft w:val="0"/>
          <w:marRight w:val="0"/>
          <w:marTop w:val="0"/>
          <w:marBottom w:val="0"/>
          <w:divBdr>
            <w:top w:val="none" w:sz="0" w:space="0" w:color="auto"/>
            <w:left w:val="none" w:sz="0" w:space="0" w:color="auto"/>
            <w:bottom w:val="none" w:sz="0" w:space="0" w:color="auto"/>
            <w:right w:val="none" w:sz="0" w:space="0" w:color="auto"/>
          </w:divBdr>
          <w:divsChild>
            <w:div w:id="29766079">
              <w:marLeft w:val="0"/>
              <w:marRight w:val="0"/>
              <w:marTop w:val="0"/>
              <w:marBottom w:val="0"/>
              <w:divBdr>
                <w:top w:val="none" w:sz="0" w:space="0" w:color="auto"/>
                <w:left w:val="none" w:sz="0" w:space="0" w:color="auto"/>
                <w:bottom w:val="none" w:sz="0" w:space="0" w:color="auto"/>
                <w:right w:val="none" w:sz="0" w:space="0" w:color="auto"/>
              </w:divBdr>
              <w:divsChild>
                <w:div w:id="2046634520">
                  <w:marLeft w:val="0"/>
                  <w:marRight w:val="0"/>
                  <w:marTop w:val="0"/>
                  <w:marBottom w:val="0"/>
                  <w:divBdr>
                    <w:top w:val="none" w:sz="0" w:space="0" w:color="auto"/>
                    <w:left w:val="none" w:sz="0" w:space="0" w:color="auto"/>
                    <w:bottom w:val="none" w:sz="0" w:space="0" w:color="auto"/>
                    <w:right w:val="none" w:sz="0" w:space="0" w:color="auto"/>
                  </w:divBdr>
                  <w:divsChild>
                    <w:div w:id="896277329">
                      <w:marLeft w:val="0"/>
                      <w:marRight w:val="0"/>
                      <w:marTop w:val="0"/>
                      <w:marBottom w:val="0"/>
                      <w:divBdr>
                        <w:top w:val="none" w:sz="0" w:space="0" w:color="auto"/>
                        <w:left w:val="none" w:sz="0" w:space="0" w:color="auto"/>
                        <w:bottom w:val="none" w:sz="0" w:space="0" w:color="auto"/>
                        <w:right w:val="none" w:sz="0" w:space="0" w:color="auto"/>
                      </w:divBdr>
                      <w:divsChild>
                        <w:div w:id="285501502">
                          <w:marLeft w:val="0"/>
                          <w:marRight w:val="0"/>
                          <w:marTop w:val="0"/>
                          <w:marBottom w:val="0"/>
                          <w:divBdr>
                            <w:top w:val="none" w:sz="0" w:space="0" w:color="auto"/>
                            <w:left w:val="none" w:sz="0" w:space="0" w:color="auto"/>
                            <w:bottom w:val="none" w:sz="0" w:space="0" w:color="auto"/>
                            <w:right w:val="none" w:sz="0" w:space="0" w:color="auto"/>
                          </w:divBdr>
                          <w:divsChild>
                            <w:div w:id="10740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02811">
      <w:bodyDiv w:val="1"/>
      <w:marLeft w:val="0"/>
      <w:marRight w:val="0"/>
      <w:marTop w:val="0"/>
      <w:marBottom w:val="0"/>
      <w:divBdr>
        <w:top w:val="none" w:sz="0" w:space="0" w:color="auto"/>
        <w:left w:val="none" w:sz="0" w:space="0" w:color="auto"/>
        <w:bottom w:val="none" w:sz="0" w:space="0" w:color="auto"/>
        <w:right w:val="none" w:sz="0" w:space="0" w:color="auto"/>
      </w:divBdr>
    </w:div>
    <w:div w:id="852457615">
      <w:bodyDiv w:val="1"/>
      <w:marLeft w:val="0"/>
      <w:marRight w:val="0"/>
      <w:marTop w:val="0"/>
      <w:marBottom w:val="0"/>
      <w:divBdr>
        <w:top w:val="none" w:sz="0" w:space="0" w:color="auto"/>
        <w:left w:val="none" w:sz="0" w:space="0" w:color="auto"/>
        <w:bottom w:val="none" w:sz="0" w:space="0" w:color="auto"/>
        <w:right w:val="none" w:sz="0" w:space="0" w:color="auto"/>
      </w:divBdr>
    </w:div>
    <w:div w:id="854155651">
      <w:bodyDiv w:val="1"/>
      <w:marLeft w:val="0"/>
      <w:marRight w:val="0"/>
      <w:marTop w:val="0"/>
      <w:marBottom w:val="0"/>
      <w:divBdr>
        <w:top w:val="none" w:sz="0" w:space="0" w:color="auto"/>
        <w:left w:val="none" w:sz="0" w:space="0" w:color="auto"/>
        <w:bottom w:val="none" w:sz="0" w:space="0" w:color="auto"/>
        <w:right w:val="none" w:sz="0" w:space="0" w:color="auto"/>
      </w:divBdr>
    </w:div>
    <w:div w:id="990711820">
      <w:bodyDiv w:val="1"/>
      <w:marLeft w:val="0"/>
      <w:marRight w:val="0"/>
      <w:marTop w:val="0"/>
      <w:marBottom w:val="0"/>
      <w:divBdr>
        <w:top w:val="none" w:sz="0" w:space="0" w:color="auto"/>
        <w:left w:val="none" w:sz="0" w:space="0" w:color="auto"/>
        <w:bottom w:val="none" w:sz="0" w:space="0" w:color="auto"/>
        <w:right w:val="none" w:sz="0" w:space="0" w:color="auto"/>
      </w:divBdr>
    </w:div>
    <w:div w:id="1051538296">
      <w:bodyDiv w:val="1"/>
      <w:marLeft w:val="0"/>
      <w:marRight w:val="0"/>
      <w:marTop w:val="0"/>
      <w:marBottom w:val="0"/>
      <w:divBdr>
        <w:top w:val="none" w:sz="0" w:space="0" w:color="auto"/>
        <w:left w:val="none" w:sz="0" w:space="0" w:color="auto"/>
        <w:bottom w:val="none" w:sz="0" w:space="0" w:color="auto"/>
        <w:right w:val="none" w:sz="0" w:space="0" w:color="auto"/>
      </w:divBdr>
    </w:div>
    <w:div w:id="1065181420">
      <w:bodyDiv w:val="1"/>
      <w:marLeft w:val="0"/>
      <w:marRight w:val="0"/>
      <w:marTop w:val="0"/>
      <w:marBottom w:val="0"/>
      <w:divBdr>
        <w:top w:val="none" w:sz="0" w:space="0" w:color="auto"/>
        <w:left w:val="none" w:sz="0" w:space="0" w:color="auto"/>
        <w:bottom w:val="none" w:sz="0" w:space="0" w:color="auto"/>
        <w:right w:val="none" w:sz="0" w:space="0" w:color="auto"/>
      </w:divBdr>
      <w:divsChild>
        <w:div w:id="1597857723">
          <w:marLeft w:val="0"/>
          <w:marRight w:val="0"/>
          <w:marTop w:val="0"/>
          <w:marBottom w:val="300"/>
          <w:divBdr>
            <w:top w:val="none" w:sz="0" w:space="0" w:color="auto"/>
            <w:left w:val="none" w:sz="0" w:space="0" w:color="auto"/>
            <w:bottom w:val="none" w:sz="0" w:space="0" w:color="auto"/>
            <w:right w:val="none" w:sz="0" w:space="0" w:color="auto"/>
          </w:divBdr>
          <w:divsChild>
            <w:div w:id="1070691665">
              <w:marLeft w:val="0"/>
              <w:marRight w:val="0"/>
              <w:marTop w:val="0"/>
              <w:marBottom w:val="0"/>
              <w:divBdr>
                <w:top w:val="none" w:sz="0" w:space="0" w:color="auto"/>
                <w:left w:val="single" w:sz="6" w:space="1" w:color="FFFFFF"/>
                <w:bottom w:val="none" w:sz="0" w:space="0" w:color="auto"/>
                <w:right w:val="single" w:sz="6" w:space="1" w:color="FFFFFF"/>
              </w:divBdr>
              <w:divsChild>
                <w:div w:id="1950165964">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sChild>
                        <w:div w:id="1678264542">
                          <w:marLeft w:val="0"/>
                          <w:marRight w:val="0"/>
                          <w:marTop w:val="0"/>
                          <w:marBottom w:val="0"/>
                          <w:divBdr>
                            <w:top w:val="none" w:sz="0" w:space="0" w:color="auto"/>
                            <w:left w:val="none" w:sz="0" w:space="0" w:color="auto"/>
                            <w:bottom w:val="none" w:sz="0" w:space="0" w:color="auto"/>
                            <w:right w:val="none" w:sz="0" w:space="0" w:color="auto"/>
                          </w:divBdr>
                          <w:divsChild>
                            <w:div w:id="424151750">
                              <w:marLeft w:val="0"/>
                              <w:marRight w:val="0"/>
                              <w:marTop w:val="0"/>
                              <w:marBottom w:val="0"/>
                              <w:divBdr>
                                <w:top w:val="none" w:sz="0" w:space="0" w:color="auto"/>
                                <w:left w:val="none" w:sz="0" w:space="0" w:color="auto"/>
                                <w:bottom w:val="none" w:sz="0" w:space="0" w:color="auto"/>
                                <w:right w:val="none" w:sz="0" w:space="0" w:color="auto"/>
                              </w:divBdr>
                              <w:divsChild>
                                <w:div w:id="1794134716">
                                  <w:marLeft w:val="0"/>
                                  <w:marRight w:val="0"/>
                                  <w:marTop w:val="0"/>
                                  <w:marBottom w:val="0"/>
                                  <w:divBdr>
                                    <w:top w:val="none" w:sz="0" w:space="0" w:color="auto"/>
                                    <w:left w:val="none" w:sz="0" w:space="0" w:color="auto"/>
                                    <w:bottom w:val="none" w:sz="0" w:space="0" w:color="auto"/>
                                    <w:right w:val="none" w:sz="0" w:space="0" w:color="auto"/>
                                  </w:divBdr>
                                  <w:divsChild>
                                    <w:div w:id="1648247088">
                                      <w:marLeft w:val="0"/>
                                      <w:marRight w:val="0"/>
                                      <w:marTop w:val="0"/>
                                      <w:marBottom w:val="0"/>
                                      <w:divBdr>
                                        <w:top w:val="none" w:sz="0" w:space="0" w:color="auto"/>
                                        <w:left w:val="none" w:sz="0" w:space="0" w:color="auto"/>
                                        <w:bottom w:val="none" w:sz="0" w:space="0" w:color="auto"/>
                                        <w:right w:val="none" w:sz="0" w:space="0" w:color="auto"/>
                                      </w:divBdr>
                                      <w:divsChild>
                                        <w:div w:id="990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4112">
      <w:bodyDiv w:val="1"/>
      <w:marLeft w:val="0"/>
      <w:marRight w:val="0"/>
      <w:marTop w:val="0"/>
      <w:marBottom w:val="0"/>
      <w:divBdr>
        <w:top w:val="none" w:sz="0" w:space="0" w:color="auto"/>
        <w:left w:val="none" w:sz="0" w:space="0" w:color="auto"/>
        <w:bottom w:val="none" w:sz="0" w:space="0" w:color="auto"/>
        <w:right w:val="none" w:sz="0" w:space="0" w:color="auto"/>
      </w:divBdr>
    </w:div>
    <w:div w:id="1626227697">
      <w:bodyDiv w:val="1"/>
      <w:marLeft w:val="0"/>
      <w:marRight w:val="0"/>
      <w:marTop w:val="0"/>
      <w:marBottom w:val="0"/>
      <w:divBdr>
        <w:top w:val="none" w:sz="0" w:space="0" w:color="auto"/>
        <w:left w:val="none" w:sz="0" w:space="0" w:color="auto"/>
        <w:bottom w:val="none" w:sz="0" w:space="0" w:color="auto"/>
        <w:right w:val="none" w:sz="0" w:space="0" w:color="auto"/>
      </w:divBdr>
    </w:div>
    <w:div w:id="1758475272">
      <w:bodyDiv w:val="1"/>
      <w:marLeft w:val="0"/>
      <w:marRight w:val="0"/>
      <w:marTop w:val="0"/>
      <w:marBottom w:val="0"/>
      <w:divBdr>
        <w:top w:val="none" w:sz="0" w:space="0" w:color="auto"/>
        <w:left w:val="none" w:sz="0" w:space="0" w:color="auto"/>
        <w:bottom w:val="none" w:sz="0" w:space="0" w:color="auto"/>
        <w:right w:val="none" w:sz="0" w:space="0" w:color="auto"/>
      </w:divBdr>
    </w:div>
    <w:div w:id="1947343299">
      <w:bodyDiv w:val="1"/>
      <w:marLeft w:val="0"/>
      <w:marRight w:val="0"/>
      <w:marTop w:val="0"/>
      <w:marBottom w:val="0"/>
      <w:divBdr>
        <w:top w:val="none" w:sz="0" w:space="0" w:color="auto"/>
        <w:left w:val="none" w:sz="0" w:space="0" w:color="auto"/>
        <w:bottom w:val="none" w:sz="0" w:space="0" w:color="auto"/>
        <w:right w:val="none" w:sz="0" w:space="0" w:color="auto"/>
      </w:divBdr>
    </w:div>
    <w:div w:id="2052266197">
      <w:bodyDiv w:val="1"/>
      <w:marLeft w:val="0"/>
      <w:marRight w:val="0"/>
      <w:marTop w:val="0"/>
      <w:marBottom w:val="0"/>
      <w:divBdr>
        <w:top w:val="none" w:sz="0" w:space="0" w:color="auto"/>
        <w:left w:val="none" w:sz="0" w:space="0" w:color="auto"/>
        <w:bottom w:val="none" w:sz="0" w:space="0" w:color="auto"/>
        <w:right w:val="none" w:sz="0" w:space="0" w:color="auto"/>
      </w:divBdr>
    </w:div>
    <w:div w:id="20916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0D1F-A0E9-4675-9C5C-017687B6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2684EAFF.dotm</Template>
  <TotalTime>30</TotalTime>
  <Pages>5</Pages>
  <Words>1433</Words>
  <Characters>8216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9630</CharactersWithSpaces>
  <SharedDoc>false</SharedDoc>
  <HLinks>
    <vt:vector size="90" baseType="variant">
      <vt:variant>
        <vt:i4>983062</vt:i4>
      </vt:variant>
      <vt:variant>
        <vt:i4>90</vt:i4>
      </vt:variant>
      <vt:variant>
        <vt:i4>0</vt:i4>
      </vt:variant>
      <vt:variant>
        <vt:i4>5</vt:i4>
      </vt:variant>
      <vt:variant>
        <vt:lpwstr>http://www.kfst.dk/vandtilsyn</vt:lpwstr>
      </vt:variant>
      <vt:variant>
        <vt:lpwstr/>
      </vt:variant>
      <vt:variant>
        <vt:i4>983062</vt:i4>
      </vt:variant>
      <vt:variant>
        <vt:i4>87</vt:i4>
      </vt:variant>
      <vt:variant>
        <vt:i4>0</vt:i4>
      </vt:variant>
      <vt:variant>
        <vt:i4>5</vt:i4>
      </vt:variant>
      <vt:variant>
        <vt:lpwstr>http://www.kfst.dk/vandtilsyn</vt:lpwstr>
      </vt:variant>
      <vt:variant>
        <vt:lpwstr/>
      </vt:variant>
      <vt:variant>
        <vt:i4>131140</vt:i4>
      </vt:variant>
      <vt:variant>
        <vt:i4>84</vt:i4>
      </vt:variant>
      <vt:variant>
        <vt:i4>0</vt:i4>
      </vt:variant>
      <vt:variant>
        <vt:i4>5</vt:i4>
      </vt:variant>
      <vt:variant>
        <vt:lpwstr>https://www.retsinformation.dk/Forms/R0710.aspx?id=177809</vt:lpwstr>
      </vt:variant>
      <vt:variant>
        <vt:lpwstr/>
      </vt:variant>
      <vt:variant>
        <vt:i4>262218</vt:i4>
      </vt:variant>
      <vt:variant>
        <vt:i4>81</vt:i4>
      </vt:variant>
      <vt:variant>
        <vt:i4>0</vt:i4>
      </vt:variant>
      <vt:variant>
        <vt:i4>5</vt:i4>
      </vt:variant>
      <vt:variant>
        <vt:lpwstr>https://www.retsinformation.dk/forms/r0710.aspx?id=125346</vt:lpwstr>
      </vt:variant>
      <vt:variant>
        <vt:lpwstr/>
      </vt:variant>
      <vt:variant>
        <vt:i4>1703996</vt:i4>
      </vt:variant>
      <vt:variant>
        <vt:i4>74</vt:i4>
      </vt:variant>
      <vt:variant>
        <vt:i4>0</vt:i4>
      </vt:variant>
      <vt:variant>
        <vt:i4>5</vt:i4>
      </vt:variant>
      <vt:variant>
        <vt:lpwstr/>
      </vt:variant>
      <vt:variant>
        <vt:lpwstr>_Toc459800107</vt:lpwstr>
      </vt:variant>
      <vt:variant>
        <vt:i4>1703996</vt:i4>
      </vt:variant>
      <vt:variant>
        <vt:i4>68</vt:i4>
      </vt:variant>
      <vt:variant>
        <vt:i4>0</vt:i4>
      </vt:variant>
      <vt:variant>
        <vt:i4>5</vt:i4>
      </vt:variant>
      <vt:variant>
        <vt:lpwstr/>
      </vt:variant>
      <vt:variant>
        <vt:lpwstr>_Toc459800106</vt:lpwstr>
      </vt:variant>
      <vt:variant>
        <vt:i4>1703996</vt:i4>
      </vt:variant>
      <vt:variant>
        <vt:i4>62</vt:i4>
      </vt:variant>
      <vt:variant>
        <vt:i4>0</vt:i4>
      </vt:variant>
      <vt:variant>
        <vt:i4>5</vt:i4>
      </vt:variant>
      <vt:variant>
        <vt:lpwstr/>
      </vt:variant>
      <vt:variant>
        <vt:lpwstr>_Toc459800105</vt:lpwstr>
      </vt:variant>
      <vt:variant>
        <vt:i4>1703996</vt:i4>
      </vt:variant>
      <vt:variant>
        <vt:i4>56</vt:i4>
      </vt:variant>
      <vt:variant>
        <vt:i4>0</vt:i4>
      </vt:variant>
      <vt:variant>
        <vt:i4>5</vt:i4>
      </vt:variant>
      <vt:variant>
        <vt:lpwstr/>
      </vt:variant>
      <vt:variant>
        <vt:lpwstr>_Toc459800104</vt:lpwstr>
      </vt:variant>
      <vt:variant>
        <vt:i4>1703996</vt:i4>
      </vt:variant>
      <vt:variant>
        <vt:i4>50</vt:i4>
      </vt:variant>
      <vt:variant>
        <vt:i4>0</vt:i4>
      </vt:variant>
      <vt:variant>
        <vt:i4>5</vt:i4>
      </vt:variant>
      <vt:variant>
        <vt:lpwstr/>
      </vt:variant>
      <vt:variant>
        <vt:lpwstr>_Toc459800103</vt:lpwstr>
      </vt:variant>
      <vt:variant>
        <vt:i4>1703996</vt:i4>
      </vt:variant>
      <vt:variant>
        <vt:i4>44</vt:i4>
      </vt:variant>
      <vt:variant>
        <vt:i4>0</vt:i4>
      </vt:variant>
      <vt:variant>
        <vt:i4>5</vt:i4>
      </vt:variant>
      <vt:variant>
        <vt:lpwstr/>
      </vt:variant>
      <vt:variant>
        <vt:lpwstr>_Toc459800102</vt:lpwstr>
      </vt:variant>
      <vt:variant>
        <vt:i4>1703996</vt:i4>
      </vt:variant>
      <vt:variant>
        <vt:i4>38</vt:i4>
      </vt:variant>
      <vt:variant>
        <vt:i4>0</vt:i4>
      </vt:variant>
      <vt:variant>
        <vt:i4>5</vt:i4>
      </vt:variant>
      <vt:variant>
        <vt:lpwstr/>
      </vt:variant>
      <vt:variant>
        <vt:lpwstr>_Toc459800101</vt:lpwstr>
      </vt:variant>
      <vt:variant>
        <vt:i4>1703996</vt:i4>
      </vt:variant>
      <vt:variant>
        <vt:i4>32</vt:i4>
      </vt:variant>
      <vt:variant>
        <vt:i4>0</vt:i4>
      </vt:variant>
      <vt:variant>
        <vt:i4>5</vt:i4>
      </vt:variant>
      <vt:variant>
        <vt:lpwstr/>
      </vt:variant>
      <vt:variant>
        <vt:lpwstr>_Toc459800100</vt:lpwstr>
      </vt:variant>
      <vt:variant>
        <vt:i4>1245245</vt:i4>
      </vt:variant>
      <vt:variant>
        <vt:i4>26</vt:i4>
      </vt:variant>
      <vt:variant>
        <vt:i4>0</vt:i4>
      </vt:variant>
      <vt:variant>
        <vt:i4>5</vt:i4>
      </vt:variant>
      <vt:variant>
        <vt:lpwstr/>
      </vt:variant>
      <vt:variant>
        <vt:lpwstr>_Toc459800099</vt:lpwstr>
      </vt:variant>
      <vt:variant>
        <vt:i4>1245245</vt:i4>
      </vt:variant>
      <vt:variant>
        <vt:i4>20</vt:i4>
      </vt:variant>
      <vt:variant>
        <vt:i4>0</vt:i4>
      </vt:variant>
      <vt:variant>
        <vt:i4>5</vt:i4>
      </vt:variant>
      <vt:variant>
        <vt:lpwstr/>
      </vt:variant>
      <vt:variant>
        <vt:lpwstr>_Toc459800098</vt:lpwstr>
      </vt:variant>
      <vt:variant>
        <vt:i4>1245245</vt:i4>
      </vt:variant>
      <vt:variant>
        <vt:i4>14</vt:i4>
      </vt:variant>
      <vt:variant>
        <vt:i4>0</vt:i4>
      </vt:variant>
      <vt:variant>
        <vt:i4>5</vt:i4>
      </vt:variant>
      <vt:variant>
        <vt:lpwstr/>
      </vt:variant>
      <vt:variant>
        <vt:lpwstr>_Toc459800097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Katrine Stagaard</dc:creator>
  <cp:lastModifiedBy>Jan Bæk Pedersen</cp:lastModifiedBy>
  <cp:revision>7</cp:revision>
  <cp:lastPrinted>2017-06-22T06:27:00Z</cp:lastPrinted>
  <dcterms:created xsi:type="dcterms:W3CDTF">2017-08-04T12:07:00Z</dcterms:created>
  <dcterms:modified xsi:type="dcterms:W3CDTF">2017-09-12T12:20:00Z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navn">
    <vt:lpwstr>2016.05.11__[Overskrift]</vt:lpwstr>
  </property>
</Properties>
</file>