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page" w:tblpX="8746" w:tblpY="2405"/>
        <w:tblW w:w="0" w:type="auto"/>
        <w:tblLayout w:type="fixed"/>
        <w:tblCellMar>
          <w:left w:w="70" w:type="dxa"/>
          <w:right w:w="70" w:type="dxa"/>
        </w:tblCellMar>
        <w:tblLook w:val="0000" w:firstRow="0" w:lastRow="0" w:firstColumn="0" w:lastColumn="0" w:noHBand="0" w:noVBand="0"/>
      </w:tblPr>
      <w:tblGrid>
        <w:gridCol w:w="2784"/>
      </w:tblGrid>
      <w:tr w:rsidR="009F10C7" w:rsidTr="009F10C7">
        <w:trPr>
          <w:trHeight w:val="13229" w:hRule="exact"/>
        </w:trPr>
        <w:tc>
          <w:tcPr>
            <w:tcW w:w="2784" w:type="dxa"/>
            <w:tcBorders>
              <w:bottom w:val="nil"/>
            </w:tcBorders>
          </w:tcPr>
          <w:p w:rsidR="009F10C7" w:rsidP="00760E95" w:rsidRDefault="009F10C7">
            <w:pPr>
              <w:pStyle w:val="datomv"/>
              <w:framePr w:hSpace="0" w:wrap="auto" w:vAnchor="margin" w:xAlign="left" w:yAlign="inline" w:anchorLock="0"/>
              <w:ind w:left="142" w:hanging="142"/>
              <w:jc w:val="both"/>
              <w:rPr>
                <w:rFonts w:ascii="Arial" w:hAnsi="Arial"/>
                <w:sz w:val="16"/>
              </w:rPr>
            </w:pPr>
            <w:r w:rsidRPr="00BD441B">
              <w:rPr>
                <w:rFonts w:ascii="Arial" w:hAnsi="Arial"/>
                <w:sz w:val="16"/>
              </w:rPr>
              <w:t>Den</w:t>
            </w:r>
            <w:r w:rsidRPr="00BD441B" w:rsidR="00F42DC8">
              <w:rPr>
                <w:rFonts w:ascii="Arial" w:hAnsi="Arial"/>
                <w:sz w:val="16"/>
              </w:rPr>
              <w:t xml:space="preserve"> </w:t>
            </w:r>
            <w:r w:rsidR="00BD441B">
              <w:rPr>
                <w:rFonts w:ascii="Arial" w:hAnsi="Arial"/>
                <w:sz w:val="16"/>
              </w:rPr>
              <w:t>3. oktober 2014</w:t>
            </w:r>
          </w:p>
          <w:p w:rsidR="009F10C7" w:rsidP="00760E95" w:rsidRDefault="009F10C7">
            <w:pPr>
              <w:pStyle w:val="datomv"/>
              <w:framePr w:hSpace="0" w:wrap="auto" w:vAnchor="margin" w:xAlign="left" w:yAlign="inline" w:anchorLock="0"/>
              <w:jc w:val="both"/>
              <w:rPr>
                <w:rFonts w:ascii="Arial" w:hAnsi="Arial"/>
                <w:sz w:val="16"/>
              </w:rPr>
            </w:pPr>
            <w:r>
              <w:rPr>
                <w:rFonts w:ascii="Arial" w:hAnsi="Arial"/>
                <w:sz w:val="16"/>
              </w:rPr>
              <w:t xml:space="preserve">Sag nr. </w:t>
            </w:r>
            <w:r>
              <w:rPr>
                <w:rFonts w:ascii="Arial" w:hAnsi="Arial"/>
                <w:noProof/>
                <w:sz w:val="16"/>
              </w:rPr>
              <w:t>1</w:t>
            </w:r>
            <w:r w:rsidR="00401EDB">
              <w:rPr>
                <w:rFonts w:ascii="Arial" w:hAnsi="Arial"/>
                <w:noProof/>
                <w:sz w:val="16"/>
              </w:rPr>
              <w:t>4</w:t>
            </w:r>
            <w:r>
              <w:rPr>
                <w:rFonts w:ascii="Arial" w:hAnsi="Arial"/>
                <w:noProof/>
                <w:sz w:val="16"/>
              </w:rPr>
              <w:t>/</w:t>
            </w:r>
            <w:r w:rsidR="000B019F">
              <w:rPr>
                <w:rFonts w:ascii="Arial" w:hAnsi="Arial"/>
                <w:noProof/>
                <w:sz w:val="16"/>
              </w:rPr>
              <w:t>03845</w:t>
            </w:r>
            <w:r>
              <w:rPr>
                <w:rFonts w:ascii="Arial" w:hAnsi="Arial"/>
                <w:sz w:val="16"/>
              </w:rPr>
              <w:t xml:space="preserve"> </w:t>
            </w:r>
          </w:p>
          <w:p w:rsidRPr="002F26FD" w:rsidR="009F10C7" w:rsidP="00760E95" w:rsidRDefault="009F10C7">
            <w:pPr>
              <w:pStyle w:val="skakt"/>
              <w:framePr w:w="0" w:hSpace="0" w:wrap="auto" w:hAnchor="text" w:xAlign="left" w:hRule="auto" w:anchorLock="0"/>
              <w:jc w:val="both"/>
              <w:rPr>
                <w:rFonts w:ascii="Arial Black" w:hAnsi="Arial Black"/>
                <w:sz w:val="13"/>
              </w:rPr>
            </w:pPr>
          </w:p>
          <w:p w:rsidR="009F10C7" w:rsidP="00760E95" w:rsidRDefault="009F10C7">
            <w:pPr>
              <w:pStyle w:val="skakt"/>
              <w:framePr w:w="0" w:hSpace="0" w:wrap="auto" w:hAnchor="text" w:xAlign="left" w:hRule="auto" w:anchorLock="0"/>
              <w:jc w:val="both"/>
              <w:rPr>
                <w:rFonts w:ascii="Arial Black" w:hAnsi="Arial Black"/>
                <w:sz w:val="13"/>
              </w:rPr>
            </w:pPr>
          </w:p>
          <w:p w:rsidR="009F10C7" w:rsidP="00760E95" w:rsidRDefault="009F10C7">
            <w:pPr>
              <w:pStyle w:val="skakt"/>
              <w:framePr w:w="0" w:hSpace="0" w:wrap="auto" w:hAnchor="text" w:xAlign="left" w:hRule="auto" w:anchorLock="0"/>
              <w:jc w:val="both"/>
              <w:rPr>
                <w:rFonts w:ascii="Arial Black" w:hAnsi="Arial Black"/>
                <w:sz w:val="13"/>
              </w:rPr>
            </w:pPr>
          </w:p>
          <w:p w:rsidR="009F10C7" w:rsidP="00760E95" w:rsidRDefault="009F10C7">
            <w:pPr>
              <w:pStyle w:val="skakt"/>
              <w:framePr w:w="0" w:hSpace="0" w:wrap="auto" w:hAnchor="text" w:xAlign="left" w:hRule="auto" w:anchorLock="0"/>
              <w:jc w:val="both"/>
              <w:rPr>
                <w:rFonts w:ascii="Arial Black" w:hAnsi="Arial Black"/>
                <w:sz w:val="13"/>
              </w:rPr>
            </w:pPr>
          </w:p>
          <w:p w:rsidR="009F10C7" w:rsidP="00760E95" w:rsidRDefault="009F10C7">
            <w:pPr>
              <w:pStyle w:val="skakt"/>
              <w:framePr w:w="0" w:hSpace="0" w:wrap="auto" w:hAnchor="text" w:xAlign="left" w:hRule="auto" w:anchorLock="0"/>
              <w:jc w:val="both"/>
              <w:rPr>
                <w:rFonts w:ascii="Arial Black" w:hAnsi="Arial Black"/>
                <w:sz w:val="13"/>
              </w:rPr>
            </w:pPr>
          </w:p>
          <w:p w:rsidR="009F10C7" w:rsidP="00760E95" w:rsidRDefault="009F10C7">
            <w:pPr>
              <w:pStyle w:val="skakt"/>
              <w:framePr w:w="0" w:hSpace="0" w:wrap="auto" w:hAnchor="text" w:xAlign="left" w:hRule="auto" w:anchorLock="0"/>
              <w:jc w:val="both"/>
              <w:rPr>
                <w:rFonts w:ascii="Arial Black" w:hAnsi="Arial Black"/>
                <w:sz w:val="13"/>
              </w:rPr>
            </w:pPr>
          </w:p>
          <w:p w:rsidR="009F10C7" w:rsidP="00760E95" w:rsidRDefault="009F10C7">
            <w:pPr>
              <w:pStyle w:val="skakt"/>
              <w:framePr w:w="0" w:hSpace="0" w:wrap="auto" w:hAnchor="text" w:xAlign="left" w:hRule="auto" w:anchorLock="0"/>
              <w:jc w:val="both"/>
              <w:rPr>
                <w:rFonts w:ascii="Arial Black" w:hAnsi="Arial Black"/>
                <w:sz w:val="13"/>
              </w:rPr>
            </w:pPr>
          </w:p>
          <w:p w:rsidR="0073762F" w:rsidP="00760E95" w:rsidRDefault="0073762F">
            <w:pPr>
              <w:pStyle w:val="skakt"/>
              <w:framePr w:w="0" w:hSpace="0" w:wrap="auto" w:hAnchor="text" w:xAlign="left" w:hRule="auto" w:anchorLock="0"/>
              <w:jc w:val="both"/>
              <w:rPr>
                <w:rFonts w:ascii="Arial Black" w:hAnsi="Arial Black"/>
                <w:sz w:val="13"/>
              </w:rPr>
            </w:pPr>
          </w:p>
          <w:p w:rsidR="0073762F" w:rsidP="00760E95" w:rsidRDefault="0073762F">
            <w:pPr>
              <w:pStyle w:val="skakt"/>
              <w:framePr w:w="0" w:hSpace="0" w:wrap="auto" w:hAnchor="text" w:xAlign="left" w:hRule="auto" w:anchorLock="0"/>
              <w:jc w:val="both"/>
              <w:rPr>
                <w:rFonts w:ascii="Arial Black" w:hAnsi="Arial Black"/>
                <w:sz w:val="13"/>
              </w:rPr>
            </w:pPr>
          </w:p>
          <w:p w:rsidR="009F10C7" w:rsidP="00450494" w:rsidRDefault="009F10C7">
            <w:pPr>
              <w:pStyle w:val="skakt"/>
              <w:framePr w:w="0" w:hSpace="0" w:wrap="auto" w:hAnchor="text" w:xAlign="left" w:hRule="auto" w:anchorLock="0"/>
              <w:rPr>
                <w:rFonts w:ascii="Arial Black" w:hAnsi="Arial Black"/>
                <w:sz w:val="13"/>
              </w:rPr>
            </w:pPr>
            <w:r>
              <w:rPr>
                <w:rFonts w:ascii="Arial Black" w:hAnsi="Arial Black"/>
                <w:sz w:val="13"/>
              </w:rPr>
              <w:t>KONKURRENCE- OG FORBRUGERSTYRELSEN</w:t>
            </w:r>
          </w:p>
          <w:p w:rsidR="009F10C7" w:rsidP="00450494" w:rsidRDefault="009F10C7">
            <w:pPr>
              <w:pStyle w:val="skakt"/>
              <w:framePr w:w="0" w:hSpace="0" w:wrap="auto" w:hAnchor="text" w:xAlign="left" w:hRule="auto" w:anchorLock="0"/>
              <w:tabs>
                <w:tab w:val="left" w:pos="709"/>
              </w:tabs>
              <w:rPr>
                <w:sz w:val="16"/>
              </w:rPr>
            </w:pPr>
            <w:r>
              <w:rPr>
                <w:sz w:val="16"/>
              </w:rPr>
              <w:t>Carl Jacobsens Vej 35</w:t>
            </w:r>
          </w:p>
          <w:p w:rsidR="009F10C7" w:rsidP="00760E95" w:rsidRDefault="009F10C7">
            <w:pPr>
              <w:pStyle w:val="skakt"/>
              <w:framePr w:w="0" w:hSpace="0" w:wrap="auto" w:hAnchor="text" w:xAlign="left" w:hRule="auto" w:anchorLock="0"/>
              <w:tabs>
                <w:tab w:val="left" w:pos="709"/>
              </w:tabs>
              <w:jc w:val="both"/>
              <w:rPr>
                <w:sz w:val="16"/>
              </w:rPr>
            </w:pPr>
            <w:r>
              <w:rPr>
                <w:sz w:val="16"/>
              </w:rPr>
              <w:t>2500 Valby</w:t>
            </w:r>
          </w:p>
          <w:p w:rsidR="009F10C7" w:rsidP="00450494" w:rsidRDefault="009F10C7">
            <w:pPr>
              <w:pStyle w:val="skakt"/>
              <w:framePr w:w="0" w:hSpace="0" w:wrap="auto" w:hAnchor="text" w:xAlign="left" w:hRule="auto" w:anchorLock="0"/>
              <w:tabs>
                <w:tab w:val="left" w:pos="709"/>
              </w:tabs>
              <w:rPr>
                <w:sz w:val="16"/>
              </w:rPr>
            </w:pPr>
          </w:p>
          <w:p w:rsidR="009F10C7" w:rsidP="00450494" w:rsidRDefault="009F10C7">
            <w:pPr>
              <w:pStyle w:val="skakt"/>
              <w:framePr w:w="0" w:hSpace="0" w:wrap="auto" w:hAnchor="text" w:xAlign="left" w:hRule="auto" w:anchorLock="0"/>
              <w:tabs>
                <w:tab w:val="left" w:pos="709"/>
              </w:tabs>
              <w:rPr>
                <w:sz w:val="16"/>
              </w:rPr>
            </w:pPr>
            <w:proofErr w:type="gramStart"/>
            <w:r>
              <w:rPr>
                <w:sz w:val="16"/>
              </w:rPr>
              <w:t xml:space="preserve">Tlf.        </w:t>
            </w:r>
            <w:r w:rsidR="00F50A65">
              <w:rPr>
                <w:sz w:val="16"/>
              </w:rPr>
              <w:t xml:space="preserve">   </w:t>
            </w:r>
            <w:r>
              <w:rPr>
                <w:sz w:val="16"/>
              </w:rPr>
              <w:t>41</w:t>
            </w:r>
            <w:proofErr w:type="gramEnd"/>
            <w:r w:rsidR="00F50A65">
              <w:rPr>
                <w:sz w:val="16"/>
              </w:rPr>
              <w:t xml:space="preserve"> </w:t>
            </w:r>
            <w:r>
              <w:rPr>
                <w:sz w:val="16"/>
              </w:rPr>
              <w:t>71 50</w:t>
            </w:r>
            <w:r w:rsidR="00F50A65">
              <w:rPr>
                <w:sz w:val="16"/>
              </w:rPr>
              <w:t xml:space="preserve"> </w:t>
            </w:r>
            <w:r>
              <w:rPr>
                <w:sz w:val="16"/>
              </w:rPr>
              <w:t>00</w:t>
            </w:r>
          </w:p>
          <w:p w:rsidR="009F10C7" w:rsidP="00450494" w:rsidRDefault="009F10C7">
            <w:pPr>
              <w:pStyle w:val="skakt"/>
              <w:framePr w:w="0" w:hSpace="0" w:wrap="auto" w:hAnchor="text" w:xAlign="left" w:hRule="auto" w:anchorLock="0"/>
              <w:tabs>
                <w:tab w:val="left" w:pos="709"/>
              </w:tabs>
              <w:rPr>
                <w:sz w:val="16"/>
              </w:rPr>
            </w:pPr>
            <w:r>
              <w:rPr>
                <w:sz w:val="16"/>
              </w:rPr>
              <w:t>Fax</w:t>
            </w:r>
            <w:r>
              <w:rPr>
                <w:sz w:val="16"/>
              </w:rPr>
              <w:tab/>
              <w:t>41</w:t>
            </w:r>
            <w:r w:rsidR="00F50A65">
              <w:rPr>
                <w:sz w:val="16"/>
              </w:rPr>
              <w:t xml:space="preserve"> </w:t>
            </w:r>
            <w:r>
              <w:rPr>
                <w:sz w:val="16"/>
              </w:rPr>
              <w:t>71 51</w:t>
            </w:r>
            <w:r w:rsidR="00F50A65">
              <w:rPr>
                <w:sz w:val="16"/>
              </w:rPr>
              <w:t xml:space="preserve"> </w:t>
            </w:r>
            <w:r>
              <w:rPr>
                <w:sz w:val="16"/>
              </w:rPr>
              <w:t>00</w:t>
            </w:r>
          </w:p>
          <w:p w:rsidR="009F10C7" w:rsidP="00450494" w:rsidRDefault="009F10C7">
            <w:pPr>
              <w:pStyle w:val="skakt"/>
              <w:framePr w:w="0" w:hSpace="0" w:wrap="auto" w:hAnchor="text" w:xAlign="left" w:hRule="auto" w:anchorLock="0"/>
              <w:tabs>
                <w:tab w:val="left" w:pos="709"/>
              </w:tabs>
              <w:rPr>
                <w:sz w:val="16"/>
              </w:rPr>
            </w:pPr>
            <w:r>
              <w:rPr>
                <w:sz w:val="16"/>
              </w:rPr>
              <w:t>CVR-nr.</w:t>
            </w:r>
            <w:r>
              <w:rPr>
                <w:sz w:val="16"/>
              </w:rPr>
              <w:tab/>
              <w:t>10 29 48 19</w:t>
            </w:r>
          </w:p>
          <w:p w:rsidR="009F10C7" w:rsidP="00450494" w:rsidRDefault="009F10C7">
            <w:pPr>
              <w:pStyle w:val="skakt"/>
              <w:framePr w:w="0" w:hSpace="0" w:wrap="auto" w:hAnchor="text" w:xAlign="left" w:hRule="auto" w:anchorLock="0"/>
              <w:rPr>
                <w:sz w:val="16"/>
              </w:rPr>
            </w:pPr>
            <w:r>
              <w:rPr>
                <w:sz w:val="16"/>
              </w:rPr>
              <w:t>vand@kfst.dk</w:t>
            </w:r>
          </w:p>
          <w:p w:rsidR="009F10C7" w:rsidP="00450494" w:rsidRDefault="009F10C7">
            <w:pPr>
              <w:pStyle w:val="datomv"/>
              <w:framePr w:hSpace="0" w:wrap="auto" w:vAnchor="margin" w:xAlign="left" w:yAlign="inline" w:anchorLock="0"/>
            </w:pPr>
            <w:bookmarkStart w:name="_Hlt10689529" w:id="0"/>
            <w:r>
              <w:rPr>
                <w:rFonts w:ascii="Arial" w:hAnsi="Arial"/>
                <w:sz w:val="16"/>
              </w:rPr>
              <w:t>www.kfst.dk</w:t>
            </w:r>
            <w:bookmarkEnd w:id="0"/>
          </w:p>
          <w:p w:rsidR="009F10C7" w:rsidP="00760E95" w:rsidRDefault="009F10C7">
            <w:pPr>
              <w:pStyle w:val="datomv"/>
              <w:framePr w:hSpace="0" w:wrap="auto" w:vAnchor="margin" w:xAlign="left" w:yAlign="inline" w:anchorLock="0"/>
              <w:spacing w:line="220" w:lineRule="exact"/>
              <w:jc w:val="both"/>
            </w:pPr>
          </w:p>
          <w:p w:rsidR="009F10C7" w:rsidP="00760E95" w:rsidRDefault="009F10C7">
            <w:pPr>
              <w:pStyle w:val="datomv"/>
              <w:framePr w:hSpace="0" w:wrap="auto" w:vAnchor="margin" w:xAlign="left" w:yAlign="inline" w:anchorLock="0"/>
              <w:jc w:val="both"/>
            </w:pPr>
          </w:p>
          <w:p w:rsidR="009F10C7" w:rsidP="00760E95" w:rsidRDefault="009F10C7">
            <w:pPr>
              <w:pStyle w:val="datomv"/>
              <w:framePr w:hSpace="0" w:wrap="auto" w:vAnchor="margin" w:xAlign="left" w:yAlign="inline" w:anchorLock="0"/>
              <w:spacing w:line="220" w:lineRule="exact"/>
              <w:jc w:val="both"/>
              <w:rPr>
                <w:rFonts w:ascii="Arial Black" w:hAnsi="Arial Black"/>
                <w:sz w:val="12"/>
                <w:szCs w:val="12"/>
              </w:rPr>
            </w:pPr>
            <w:r w:rsidRPr="004D4D5B">
              <w:rPr>
                <w:rFonts w:ascii="Arial Black" w:hAnsi="Arial Black"/>
                <w:sz w:val="12"/>
                <w:szCs w:val="12"/>
              </w:rPr>
              <w:t>FORSYNINGSSEKRETARIATET</w:t>
            </w:r>
          </w:p>
          <w:p w:rsidR="009F10C7" w:rsidP="00760E95" w:rsidRDefault="009F10C7">
            <w:pPr>
              <w:pStyle w:val="datomv"/>
              <w:framePr w:hSpace="0" w:wrap="auto" w:vAnchor="margin" w:xAlign="left" w:yAlign="inline" w:anchorLock="0"/>
              <w:spacing w:line="220" w:lineRule="exact"/>
              <w:jc w:val="both"/>
              <w:rPr>
                <w:rFonts w:ascii="Arial Black" w:hAnsi="Arial Black"/>
                <w:sz w:val="12"/>
                <w:szCs w:val="12"/>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Cs w:val="15"/>
              </w:rPr>
            </w:pPr>
          </w:p>
          <w:p w:rsidRPr="005D6C6B"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 w:val="16"/>
                <w:szCs w:val="16"/>
              </w:rPr>
            </w:pPr>
            <w:r w:rsidRPr="005D6C6B">
              <w:rPr>
                <w:rFonts w:cs="Arial"/>
                <w:sz w:val="16"/>
                <w:szCs w:val="16"/>
              </w:rPr>
              <w:t xml:space="preserve">Forsyningssekretariatet </w:t>
            </w:r>
          </w:p>
          <w:p w:rsidRPr="005D6C6B" w:rsidR="009F10C7" w:rsidP="00760E95" w:rsidRDefault="009F10C7">
            <w:pPr>
              <w:pStyle w:val="nederstskakt2"/>
              <w:framePr w:hSpace="0" w:wrap="auto" w:vAnchor="margin" w:xAlign="left" w:yAlign="inline" w:hRule="auto" w:anchorLock="0"/>
              <w:tabs>
                <w:tab w:val="left" w:pos="709"/>
              </w:tabs>
              <w:spacing w:line="360" w:lineRule="auto"/>
              <w:jc w:val="both"/>
              <w:rPr>
                <w:rFonts w:cs="Arial"/>
                <w:sz w:val="16"/>
                <w:szCs w:val="16"/>
              </w:rPr>
            </w:pPr>
            <w:r w:rsidRPr="005D6C6B">
              <w:rPr>
                <w:rFonts w:cs="Arial"/>
                <w:sz w:val="16"/>
                <w:szCs w:val="16"/>
              </w:rPr>
              <w:t xml:space="preserve">er en del af Konkurrence- </w:t>
            </w:r>
          </w:p>
          <w:p w:rsidRPr="004D4D5B" w:rsidR="009F10C7" w:rsidP="00760E95" w:rsidRDefault="009F10C7">
            <w:pPr>
              <w:pStyle w:val="datomv"/>
              <w:framePr w:hSpace="0" w:wrap="auto" w:vAnchor="margin" w:xAlign="left" w:yAlign="inline" w:anchorLock="0"/>
              <w:spacing w:line="360" w:lineRule="auto"/>
              <w:jc w:val="both"/>
              <w:rPr>
                <w:rFonts w:ascii="Arial Black" w:hAnsi="Arial Black"/>
                <w:sz w:val="12"/>
                <w:szCs w:val="12"/>
              </w:rPr>
            </w:pPr>
            <w:r w:rsidRPr="005D6C6B">
              <w:rPr>
                <w:rFonts w:ascii="Arial" w:hAnsi="Arial" w:cs="Arial"/>
                <w:sz w:val="16"/>
                <w:szCs w:val="16"/>
              </w:rPr>
              <w:t>og Forbrugerstyrelsen.</w:t>
            </w:r>
          </w:p>
        </w:tc>
      </w:tr>
    </w:tbl>
    <w:p w:rsidRPr="00257DE4" w:rsidR="00257DE4" w:rsidP="00760E95" w:rsidRDefault="00257DE4">
      <w:pPr>
        <w:jc w:val="both"/>
        <w:rPr>
          <w:vanish/>
        </w:rPr>
      </w:pPr>
    </w:p>
    <w:tbl>
      <w:tblPr>
        <w:tblW w:w="7258" w:type="dxa"/>
        <w:tblLayout w:type="fixed"/>
        <w:tblCellMar>
          <w:left w:w="0" w:type="dxa"/>
          <w:right w:w="0" w:type="dxa"/>
        </w:tblCellMar>
        <w:tblLook w:val="0000" w:firstRow="0" w:lastRow="0" w:firstColumn="0" w:lastColumn="0" w:noHBand="0" w:noVBand="0"/>
      </w:tblPr>
      <w:tblGrid>
        <w:gridCol w:w="7258"/>
      </w:tblGrid>
      <w:tr w:rsidR="00294AC3" w:rsidTr="008A7EA7">
        <w:trPr>
          <w:cantSplit/>
          <w:trHeight w:val="2692" w:hRule="exact"/>
        </w:trPr>
        <w:tc>
          <w:tcPr>
            <w:tcW w:w="7258" w:type="dxa"/>
          </w:tcPr>
          <w:p w:rsidR="000B25E7" w:rsidP="000B019F" w:rsidRDefault="000B25E7">
            <w:r>
              <w:t>Andelsselskabet Gram Vandværk</w:t>
            </w:r>
          </w:p>
          <w:p w:rsidR="000B019F" w:rsidP="000B019F" w:rsidRDefault="000B019F">
            <w:r>
              <w:t>Att.: Lars M. Damkjær</w:t>
            </w:r>
          </w:p>
          <w:p w:rsidR="000B019F" w:rsidP="000B019F" w:rsidRDefault="000B019F">
            <w:r>
              <w:t>Sønderbyvej 24</w:t>
            </w:r>
          </w:p>
          <w:p w:rsidR="000B019F" w:rsidP="000B019F" w:rsidRDefault="000B019F">
            <w:r>
              <w:t>6410 Gram</w:t>
            </w:r>
          </w:p>
          <w:p w:rsidR="00343438" w:rsidP="00760E95" w:rsidRDefault="00343438">
            <w:pPr>
              <w:jc w:val="both"/>
            </w:pPr>
          </w:p>
          <w:p w:rsidR="00343438" w:rsidP="00760E95" w:rsidRDefault="00343438">
            <w:pPr>
              <w:jc w:val="both"/>
            </w:pPr>
            <w:r>
              <w:t>(herefter benævnt ”selskabet”)</w:t>
            </w:r>
          </w:p>
          <w:p w:rsidR="00294AC3" w:rsidP="00760E95" w:rsidRDefault="00294AC3">
            <w:pPr>
              <w:jc w:val="both"/>
            </w:pPr>
          </w:p>
        </w:tc>
      </w:tr>
    </w:tbl>
    <w:p w:rsidR="008A7EA7" w:rsidP="00760E95" w:rsidRDefault="008A7EA7">
      <w:pPr>
        <w:jc w:val="both"/>
        <w:rPr>
          <w:b/>
          <w:sz w:val="28"/>
          <w:szCs w:val="28"/>
        </w:rPr>
      </w:pPr>
    </w:p>
    <w:p w:rsidRPr="008A7EA7" w:rsidR="008A7EA7" w:rsidP="000341A1" w:rsidRDefault="008A7EA7">
      <w:pPr>
        <w:jc w:val="center"/>
        <w:rPr>
          <w:b/>
          <w:sz w:val="32"/>
          <w:szCs w:val="32"/>
        </w:rPr>
      </w:pPr>
      <w:r w:rsidRPr="008A7EA7">
        <w:rPr>
          <w:b/>
          <w:sz w:val="32"/>
          <w:szCs w:val="32"/>
        </w:rPr>
        <w:t>Afgørelse om prisloft for 201</w:t>
      </w:r>
      <w:r w:rsidR="00401EDB">
        <w:rPr>
          <w:b/>
          <w:sz w:val="32"/>
          <w:szCs w:val="32"/>
        </w:rPr>
        <w:t>5</w:t>
      </w:r>
    </w:p>
    <w:p w:rsidRPr="008A7EA7" w:rsidR="008A7EA7" w:rsidP="00760E95" w:rsidRDefault="008A7EA7">
      <w:pPr>
        <w:jc w:val="both"/>
        <w:rPr>
          <w:b/>
          <w:sz w:val="28"/>
          <w:szCs w:val="28"/>
        </w:rPr>
      </w:pPr>
    </w:p>
    <w:p w:rsidR="008A7EA7" w:rsidP="00760E95" w:rsidRDefault="008A7EA7">
      <w:pPr>
        <w:jc w:val="both"/>
      </w:pPr>
    </w:p>
    <w:p w:rsidRPr="008A7EA7" w:rsidR="008A7EA7" w:rsidP="00760E95" w:rsidRDefault="008A7EA7">
      <w:pPr>
        <w:pStyle w:val="Overskrift1"/>
        <w:jc w:val="both"/>
        <w:rPr>
          <w:sz w:val="28"/>
          <w:szCs w:val="28"/>
        </w:rPr>
      </w:pPr>
      <w:r w:rsidRPr="008A7EA7">
        <w:rPr>
          <w:sz w:val="28"/>
          <w:szCs w:val="28"/>
        </w:rPr>
        <w:t>Indledning</w:t>
      </w:r>
      <w:bookmarkStart w:name="_GoBack" w:id="1"/>
      <w:bookmarkEnd w:id="1"/>
    </w:p>
    <w:p w:rsidR="008A7EA7" w:rsidP="00760E95" w:rsidRDefault="008A7EA7">
      <w:pPr>
        <w:jc w:val="both"/>
      </w:pPr>
    </w:p>
    <w:p w:rsidRPr="008A7EA7" w:rsidR="00A30430" w:rsidP="00760E95" w:rsidRDefault="008A7EA7">
      <w:pPr>
        <w:jc w:val="both"/>
      </w:pPr>
      <w:r w:rsidRPr="008A7EA7">
        <w:t>Forsyningssekretariatet fastsætter prislofter for de vandselskaber, der er omfattet af vand</w:t>
      </w:r>
      <w:r w:rsidR="002D36DF">
        <w:t>sektorloven.</w:t>
      </w:r>
      <w:r w:rsidR="006E4A3C">
        <w:t xml:space="preserve"> Vandselskaber, som både driver vand- og spildevandsforsyning, får fastsat et prisloft for hver forsyningsart.</w:t>
      </w:r>
      <w:r w:rsidR="002D36DF">
        <w:t xml:space="preserve"> </w:t>
      </w:r>
      <w:r w:rsidR="00A30430">
        <w:t>Pri</w:t>
      </w:r>
      <w:r w:rsidR="00A30430">
        <w:t>s</w:t>
      </w:r>
      <w:r w:rsidRPr="008A7EA7" w:rsidR="00A30430">
        <w:t>loftet udmeldes som en samlet m</w:t>
      </w:r>
      <w:r w:rsidRPr="0014629C" w:rsidR="00A30430">
        <w:rPr>
          <w:vertAlign w:val="superscript"/>
        </w:rPr>
        <w:t>3</w:t>
      </w:r>
      <w:r w:rsidRPr="008A7EA7" w:rsidR="00A30430">
        <w:t>-pris.</w:t>
      </w:r>
    </w:p>
    <w:p w:rsidR="00A30430" w:rsidP="00760E95" w:rsidRDefault="00A30430">
      <w:pPr>
        <w:jc w:val="both"/>
      </w:pPr>
    </w:p>
    <w:p w:rsidR="00E47148" w:rsidP="00760E95" w:rsidRDefault="002D36DF">
      <w:pPr>
        <w:jc w:val="both"/>
      </w:pPr>
      <w:r>
        <w:t>Prisloftet for 201</w:t>
      </w:r>
      <w:r w:rsidR="00401EDB">
        <w:t>5</w:t>
      </w:r>
      <w:r w:rsidRPr="008A7EA7" w:rsidR="008A7EA7">
        <w:t xml:space="preserve"> fastsættes med udgangspunkt</w:t>
      </w:r>
      <w:r w:rsidR="00643141">
        <w:t xml:space="preserve"> i</w:t>
      </w:r>
      <w:r w:rsidRPr="008A7EA7" w:rsidR="008A7EA7">
        <w:t xml:space="preserve"> </w:t>
      </w:r>
      <w:r w:rsidRPr="008A7EA7" w:rsidR="00643141">
        <w:t>selskabe</w:t>
      </w:r>
      <w:r w:rsidR="00643141">
        <w:t>ts driftso</w:t>
      </w:r>
      <w:r w:rsidR="00643141">
        <w:t>m</w:t>
      </w:r>
      <w:r w:rsidR="00643141">
        <w:t>kostninger</w:t>
      </w:r>
      <w:r w:rsidR="00A43D56">
        <w:t xml:space="preserve"> </w:t>
      </w:r>
      <w:r w:rsidR="00401EDB">
        <w:t>i prisloftet for 2014</w:t>
      </w:r>
      <w:r w:rsidRPr="008A7EA7" w:rsidR="008A7EA7">
        <w:t>,</w:t>
      </w:r>
      <w:r w:rsidR="00A43D56">
        <w:t xml:space="preserve"> som prisfremskrives og</w:t>
      </w:r>
      <w:r w:rsidR="006B0262">
        <w:t xml:space="preserve"> reduceres</w:t>
      </w:r>
      <w:r w:rsidRPr="008A7EA7" w:rsidR="008A7EA7">
        <w:t xml:space="preserve"> </w:t>
      </w:r>
      <w:r w:rsidR="00B66137">
        <w:t>med</w:t>
      </w:r>
      <w:r w:rsidR="003C76C2">
        <w:t xml:space="preserve"> </w:t>
      </w:r>
      <w:r w:rsidRPr="008A7EA7" w:rsidR="008A7EA7">
        <w:t>effektiviseringskrav</w:t>
      </w:r>
      <w:r w:rsidR="00A43D56">
        <w:t xml:space="preserve">. Herudover korrigeres for </w:t>
      </w:r>
      <w:r w:rsidRPr="008A7EA7" w:rsidR="008A7EA7">
        <w:t>en række budgetterede</w:t>
      </w:r>
      <w:r w:rsidR="006B0262">
        <w:t xml:space="preserve"> og faktisk afholdte</w:t>
      </w:r>
      <w:r w:rsidRPr="008A7EA7" w:rsidR="008A7EA7">
        <w:t xml:space="preserve"> omkostnin</w:t>
      </w:r>
      <w:r w:rsidR="006B0262">
        <w:t xml:space="preserve">ger. Prisloftet korrigeres endeligt for </w:t>
      </w:r>
      <w:r w:rsidR="00557CB7">
        <w:t>forske</w:t>
      </w:r>
      <w:r w:rsidR="00557CB7">
        <w:t>l</w:t>
      </w:r>
      <w:r w:rsidR="00557CB7">
        <w:t>le</w:t>
      </w:r>
      <w:r w:rsidR="009254FD">
        <w:t>n</w:t>
      </w:r>
      <w:r w:rsidR="00557CB7">
        <w:t xml:space="preserve"> mellem </w:t>
      </w:r>
      <w:r w:rsidR="00A30430">
        <w:t xml:space="preserve">selskabets </w:t>
      </w:r>
      <w:r w:rsidR="00557CB7">
        <w:t>faktiske indtægter i 201</w:t>
      </w:r>
      <w:r w:rsidR="00401EDB">
        <w:t>3</w:t>
      </w:r>
      <w:r w:rsidR="00557CB7">
        <w:t xml:space="preserve"> og de</w:t>
      </w:r>
      <w:r w:rsidR="00A30430">
        <w:t>n indtægtsramme</w:t>
      </w:r>
      <w:r w:rsidR="00557CB7">
        <w:t>, so</w:t>
      </w:r>
      <w:r>
        <w:t xml:space="preserve">m selskabet fik fastsat </w:t>
      </w:r>
      <w:r w:rsidR="00A30430">
        <w:t xml:space="preserve">i prisloftet </w:t>
      </w:r>
      <w:r w:rsidR="00401EDB">
        <w:t>for 2013</w:t>
      </w:r>
      <w:r w:rsidR="006C220A">
        <w:t>.</w:t>
      </w:r>
    </w:p>
    <w:p w:rsidRPr="008A7EA7" w:rsidR="00E47148" w:rsidP="00760E95" w:rsidRDefault="00E47148">
      <w:pPr>
        <w:jc w:val="both"/>
      </w:pPr>
    </w:p>
    <w:p w:rsidR="00294AC3" w:rsidP="00760E95" w:rsidRDefault="00294AC3">
      <w:pPr>
        <w:pStyle w:val="Brdtekst"/>
      </w:pPr>
    </w:p>
    <w:p w:rsidRPr="008A7EA7" w:rsidR="008A7EA7" w:rsidP="00760E95" w:rsidRDefault="008A7EA7">
      <w:pPr>
        <w:pStyle w:val="Overskrift1"/>
        <w:jc w:val="both"/>
        <w:rPr>
          <w:sz w:val="28"/>
          <w:szCs w:val="28"/>
        </w:rPr>
      </w:pPr>
      <w:r w:rsidRPr="008A7EA7">
        <w:rPr>
          <w:sz w:val="28"/>
          <w:szCs w:val="28"/>
        </w:rPr>
        <w:t>Afgørelse</w:t>
      </w:r>
    </w:p>
    <w:p w:rsidR="008A7EA7" w:rsidP="00760E95" w:rsidRDefault="008A7EA7">
      <w:pPr>
        <w:pStyle w:val="Brdtekst"/>
      </w:pPr>
    </w:p>
    <w:p w:rsidRPr="008A7EA7" w:rsidR="008A7EA7" w:rsidP="00482B5E" w:rsidRDefault="008A7EA7">
      <w:pPr>
        <w:jc w:val="both"/>
      </w:pPr>
      <w:r w:rsidRPr="008A7EA7">
        <w:t xml:space="preserve">Forsyningssekretariatet har </w:t>
      </w:r>
      <w:r w:rsidR="009871CB">
        <w:t xml:space="preserve">på baggrund af de indsendte oplysninger </w:t>
      </w:r>
      <w:r w:rsidR="00CD7254">
        <w:t xml:space="preserve">fra selskabet </w:t>
      </w:r>
      <w:r w:rsidRPr="008A7EA7">
        <w:t>truffet afgørelse om</w:t>
      </w:r>
      <w:r w:rsidR="00482B5E">
        <w:t xml:space="preserve"> </w:t>
      </w:r>
      <w:r w:rsidR="005473B2">
        <w:t xml:space="preserve">selskabets </w:t>
      </w:r>
      <w:r w:rsidR="002223B4">
        <w:t>prisloft</w:t>
      </w:r>
      <w:r w:rsidRPr="008A7EA7">
        <w:t xml:space="preserve"> </w:t>
      </w:r>
      <w:r w:rsidR="00401EDB">
        <w:t>gældende for 2015</w:t>
      </w:r>
      <w:r w:rsidRPr="008A7EA7">
        <w:t>.</w:t>
      </w:r>
    </w:p>
    <w:p w:rsidR="00065437" w:rsidP="00760E95" w:rsidRDefault="00065437">
      <w:pPr>
        <w:jc w:val="both"/>
      </w:pPr>
    </w:p>
    <w:p w:rsidR="005B28EA" w:rsidP="00760E95" w:rsidRDefault="005B28EA">
      <w:pPr>
        <w:jc w:val="both"/>
      </w:pPr>
      <w:r>
        <w:t xml:space="preserve">Prisloftet fastsættes </w:t>
      </w:r>
      <w:r w:rsidR="006C741A">
        <w:t xml:space="preserve">til </w:t>
      </w:r>
      <w:r w:rsidR="00F61606">
        <w:t>34,69</w:t>
      </w:r>
      <w:r w:rsidR="000B019F">
        <w:t xml:space="preserve"> </w:t>
      </w:r>
      <w:r w:rsidR="00C239EF">
        <w:t>k</w:t>
      </w:r>
      <w:r>
        <w:t>r. pr. m</w:t>
      </w:r>
      <w:r w:rsidRPr="003A3CD4">
        <w:rPr>
          <w:vertAlign w:val="superscript"/>
        </w:rPr>
        <w:t>3</w:t>
      </w:r>
      <w:r>
        <w:t>.</w:t>
      </w:r>
      <w:r w:rsidR="00EB198C">
        <w:t xml:space="preserve"> </w:t>
      </w:r>
    </w:p>
    <w:p w:rsidR="00EF2DA5" w:rsidP="00760E95" w:rsidRDefault="00EF2DA5">
      <w:pPr>
        <w:jc w:val="both"/>
      </w:pPr>
    </w:p>
    <w:p w:rsidRPr="008A7EA7" w:rsidR="008A7EA7" w:rsidP="00760E95" w:rsidRDefault="008A7EA7">
      <w:pPr>
        <w:jc w:val="both"/>
      </w:pPr>
      <w:r w:rsidRPr="008A7EA7">
        <w:t>Prisloftet er opgjort inklusiv</w:t>
      </w:r>
      <w:r w:rsidR="0081586A">
        <w:t>e</w:t>
      </w:r>
      <w:r w:rsidRPr="008A7EA7">
        <w:t xml:space="preserve"> afgifter, men eksklusiv</w:t>
      </w:r>
      <w:r w:rsidR="00377CDD">
        <w:t>e</w:t>
      </w:r>
      <w:r w:rsidRPr="008A7EA7">
        <w:t xml:space="preserve"> moms.</w:t>
      </w:r>
    </w:p>
    <w:p w:rsidRPr="008A7EA7" w:rsidR="008A7EA7" w:rsidP="00760E95" w:rsidRDefault="008A7EA7">
      <w:pPr>
        <w:jc w:val="both"/>
      </w:pPr>
    </w:p>
    <w:p w:rsidR="0089716D" w:rsidP="006C220A" w:rsidRDefault="008A7EA7">
      <w:pPr>
        <w:jc w:val="both"/>
      </w:pPr>
      <w:r w:rsidRPr="008A7EA7">
        <w:t>Afgørelsen er truffet i medfør af vandsektorlovens § 6, stk. 2, hvorefter Forsyningssekretariatet fastsætter pri</w:t>
      </w:r>
      <w:r w:rsidR="0025288A">
        <w:t>slofter for vand</w:t>
      </w:r>
      <w:r w:rsidRPr="008A7EA7">
        <w:t>selskaber, der er o</w:t>
      </w:r>
      <w:r w:rsidRPr="008A7EA7">
        <w:t>m</w:t>
      </w:r>
      <w:r w:rsidRPr="008A7EA7">
        <w:t>fattet af lovens § 2, stk. 1.</w:t>
      </w:r>
      <w:r w:rsidR="0089716D">
        <w:br w:type="page"/>
      </w:r>
    </w:p>
    <w:p w:rsidRPr="008A7EA7" w:rsidR="008A7EA7" w:rsidP="00760E95" w:rsidRDefault="008A7EA7">
      <w:pPr>
        <w:pStyle w:val="Overskrift1"/>
        <w:jc w:val="both"/>
        <w:rPr>
          <w:sz w:val="28"/>
          <w:szCs w:val="28"/>
        </w:rPr>
      </w:pPr>
      <w:r w:rsidRPr="008A7EA7">
        <w:rPr>
          <w:sz w:val="28"/>
          <w:szCs w:val="28"/>
        </w:rPr>
        <w:lastRenderedPageBreak/>
        <w:t>Sagsfremstilling</w:t>
      </w:r>
    </w:p>
    <w:p w:rsidR="008A7EA7" w:rsidP="00760E95" w:rsidRDefault="008A7EA7">
      <w:pPr>
        <w:jc w:val="both"/>
      </w:pPr>
    </w:p>
    <w:p w:rsidR="00EF400C" w:rsidP="00760E95" w:rsidRDefault="00EF400C">
      <w:pPr>
        <w:jc w:val="both"/>
      </w:pPr>
      <w:r>
        <w:t>Selskabet er i henhold til vandsektorlovens § 2, stk. 1, omfattet af pri</w:t>
      </w:r>
      <w:r>
        <w:t>s</w:t>
      </w:r>
      <w:r>
        <w:t xml:space="preserve">loftreguleringen. </w:t>
      </w:r>
    </w:p>
    <w:p w:rsidR="00EF400C" w:rsidP="00760E95" w:rsidRDefault="00EF400C">
      <w:pPr>
        <w:jc w:val="both"/>
      </w:pPr>
    </w:p>
    <w:p w:rsidR="008A7EA7" w:rsidP="00760E95" w:rsidRDefault="008A7EA7">
      <w:pPr>
        <w:jc w:val="both"/>
      </w:pPr>
      <w:r>
        <w:t>Efter prisloftbekendtgørelsen</w:t>
      </w:r>
      <w:r w:rsidR="00F073C9">
        <w:t>s</w:t>
      </w:r>
      <w:r w:rsidR="003A7EA2">
        <w:t xml:space="preserve"> § 18, stk. 1, </w:t>
      </w:r>
      <w:r>
        <w:t>skulle selskab</w:t>
      </w:r>
      <w:r w:rsidR="007F74C1">
        <w:t>et</w:t>
      </w:r>
      <w:r w:rsidR="002D36DF">
        <w:t xml:space="preserve"> senest den 15. april 201</w:t>
      </w:r>
      <w:r w:rsidR="00401EDB">
        <w:t>4</w:t>
      </w:r>
      <w:r>
        <w:t xml:space="preserve"> indberette en række oplysninger til</w:t>
      </w:r>
      <w:r w:rsidR="007F74C1">
        <w:t xml:space="preserve"> brug for fastsættelsen af pris</w:t>
      </w:r>
      <w:r>
        <w:t>l</w:t>
      </w:r>
      <w:r w:rsidR="002D36DF">
        <w:t>oftet for 201</w:t>
      </w:r>
      <w:r w:rsidR="009871CB">
        <w:t>5</w:t>
      </w:r>
      <w:r w:rsidR="003A7EA2">
        <w:t>.</w:t>
      </w:r>
    </w:p>
    <w:p w:rsidR="00EF400C" w:rsidP="00760E95" w:rsidRDefault="00EF400C">
      <w:pPr>
        <w:jc w:val="both"/>
      </w:pPr>
    </w:p>
    <w:p w:rsidR="008A7EA7" w:rsidP="00760E95" w:rsidRDefault="008A7EA7">
      <w:pPr>
        <w:jc w:val="both"/>
      </w:pPr>
      <w:r>
        <w:t xml:space="preserve">Udkastet til afgørelsen blev sendt i høring den </w:t>
      </w:r>
      <w:r w:rsidR="00E728E1">
        <w:t>5. august 2014</w:t>
      </w:r>
      <w:r>
        <w:t xml:space="preserve"> med </w:t>
      </w:r>
      <w:r w:rsidR="00A30430">
        <w:t>to</w:t>
      </w:r>
      <w:r>
        <w:t xml:space="preserve"> uge</w:t>
      </w:r>
      <w:r w:rsidR="0081586A">
        <w:t>r</w:t>
      </w:r>
      <w:r>
        <w:t xml:space="preserve">s høringsfrist. </w:t>
      </w:r>
    </w:p>
    <w:p w:rsidR="007C5C53" w:rsidP="00760E95" w:rsidRDefault="007C5C53">
      <w:pPr>
        <w:jc w:val="both"/>
      </w:pPr>
    </w:p>
    <w:p w:rsidR="00120D22" w:rsidP="00120D22" w:rsidRDefault="00120D22">
      <w:pPr>
        <w:jc w:val="both"/>
      </w:pPr>
      <w:r>
        <w:t>Selskabet har ikke afgivet høringssvar, og Forsyningssekretariatet har derfor truffet afgørelse i overensstemmelse med udkastet.</w:t>
      </w:r>
    </w:p>
    <w:p w:rsidR="00120D22" w:rsidP="00120D22" w:rsidRDefault="00120D22">
      <w:pPr>
        <w:jc w:val="both"/>
      </w:pPr>
    </w:p>
    <w:p w:rsidR="00142787" w:rsidP="00142787" w:rsidRDefault="00142787">
      <w:pPr>
        <w:jc w:val="both"/>
      </w:pPr>
      <w:r>
        <w:t>Forsyningssekretariatet har korrigeret selskabets ekstraordinære effekt</w:t>
      </w:r>
      <w:r>
        <w:t>i</w:t>
      </w:r>
      <w:r>
        <w:t xml:space="preserve">viseringsgevinst, efter den endelige afgørelse blev sendt til selskabet. Korrektionen følger </w:t>
      </w:r>
      <w:r w:rsidRPr="00142787">
        <w:t>af, at selskabet ikke havde opgjort den ekstraordin</w:t>
      </w:r>
      <w:r w:rsidRPr="00142787">
        <w:t>æ</w:t>
      </w:r>
      <w:r w:rsidRPr="00142787">
        <w:t>re effektiviseringsgevinst korrekt. Selskabet fik den 16. september 2014 den nye ekstraordinære effektiviseringsgevinst i høring med seks dages høringsfrist. Selskabet har ikke afgivet høringssvar hertil. Korrektionen fremgår af afsnittet ”korrektion i forhold til tidligere indtægtsramme” og selskabets bilag A, fane 12.</w:t>
      </w:r>
    </w:p>
    <w:p w:rsidR="00142787" w:rsidP="00120D22" w:rsidRDefault="00142787">
      <w:pPr>
        <w:jc w:val="both"/>
      </w:pPr>
    </w:p>
    <w:p w:rsidR="00120D22" w:rsidP="00120D22" w:rsidRDefault="00120D22">
      <w:pPr>
        <w:jc w:val="both"/>
      </w:pPr>
      <w:r>
        <w:t>Eventuelle ændringer er alene af sproglig/grammatisk karakter eller u</w:t>
      </w:r>
      <w:r>
        <w:t>d</w:t>
      </w:r>
      <w:r>
        <w:t>dybende i forhold til det allerede angivne.</w:t>
      </w:r>
    </w:p>
    <w:p w:rsidR="007C5C53" w:rsidP="00760E95" w:rsidRDefault="007C5C53">
      <w:pPr>
        <w:jc w:val="both"/>
      </w:pPr>
    </w:p>
    <w:p w:rsidRPr="00EA41B5" w:rsidR="00EA41B5" w:rsidP="00760E95" w:rsidRDefault="00EA41B5">
      <w:pPr>
        <w:pStyle w:val="Overskrift1"/>
        <w:pageBreakBefore/>
        <w:jc w:val="both"/>
        <w:rPr>
          <w:sz w:val="28"/>
          <w:szCs w:val="28"/>
        </w:rPr>
      </w:pPr>
      <w:r w:rsidRPr="00EA41B5">
        <w:rPr>
          <w:sz w:val="28"/>
          <w:szCs w:val="28"/>
        </w:rPr>
        <w:lastRenderedPageBreak/>
        <w:t>Begrundelse</w:t>
      </w:r>
    </w:p>
    <w:p w:rsidR="00EA41B5" w:rsidP="00760E95" w:rsidRDefault="00EA41B5">
      <w:pPr>
        <w:jc w:val="both"/>
      </w:pPr>
    </w:p>
    <w:p w:rsidR="00EA41B5" w:rsidP="00760E95" w:rsidRDefault="00EA41B5">
      <w:pPr>
        <w:jc w:val="both"/>
      </w:pPr>
      <w:r>
        <w:t>Forsyningssekretariatet vurderer, at det på baggrund af de foreliggende oplysninger er muligt at træffe afgørelse om selskabets prisloft gældende for 201</w:t>
      </w:r>
      <w:r w:rsidR="00401EDB">
        <w:t>5</w:t>
      </w:r>
      <w:r>
        <w:t>.</w:t>
      </w:r>
    </w:p>
    <w:p w:rsidR="00870227" w:rsidP="00760E95" w:rsidRDefault="00870227">
      <w:pPr>
        <w:jc w:val="both"/>
      </w:pPr>
    </w:p>
    <w:p w:rsidR="00A43D56" w:rsidP="00870227" w:rsidRDefault="00A43D56">
      <w:pPr>
        <w:keepNext/>
        <w:jc w:val="both"/>
      </w:pPr>
      <w:r w:rsidRPr="008A7EA7">
        <w:t>Prisloftet fastsætte</w:t>
      </w:r>
      <w:r>
        <w:t>r</w:t>
      </w:r>
      <w:r w:rsidRPr="008A7EA7">
        <w:t xml:space="preserve"> en ramme for de maksimale indtægter, som vandse</w:t>
      </w:r>
      <w:r w:rsidRPr="008A7EA7">
        <w:t>l</w:t>
      </w:r>
      <w:r w:rsidRPr="008A7EA7">
        <w:t>skabet må opkræve for selsk</w:t>
      </w:r>
      <w:r>
        <w:t xml:space="preserve">abets primære aktiviteter. </w:t>
      </w:r>
    </w:p>
    <w:p w:rsidR="00A43D56" w:rsidP="00870227" w:rsidRDefault="00A43D56">
      <w:pPr>
        <w:keepNext/>
        <w:jc w:val="both"/>
      </w:pPr>
    </w:p>
    <w:p w:rsidR="00870227" w:rsidP="00870227" w:rsidRDefault="00A43D56">
      <w:pPr>
        <w:keepNext/>
        <w:jc w:val="both"/>
      </w:pPr>
      <w:r>
        <w:t xml:space="preserve">Prisloftet </w:t>
      </w:r>
      <w:r w:rsidR="00870227">
        <w:t>opgøres i kr. pr. m</w:t>
      </w:r>
      <w:r w:rsidRPr="009F670B" w:rsidR="00870227">
        <w:rPr>
          <w:szCs w:val="24"/>
          <w:vertAlign w:val="superscript"/>
        </w:rPr>
        <w:t>3</w:t>
      </w:r>
      <w:r w:rsidR="00870227">
        <w:t xml:space="preserve">, idet indtægtsrammen divideres med den forventede vandmængde, jf. prisloftbekendtgørelsens § 5, stk. 5. </w:t>
      </w:r>
      <w:r w:rsidR="00E7545B">
        <w:t>S</w:t>
      </w:r>
      <w:r w:rsidR="00870227">
        <w:t>elsk</w:t>
      </w:r>
      <w:r w:rsidR="00870227">
        <w:t>a</w:t>
      </w:r>
      <w:r w:rsidR="00870227">
        <w:t>bets indberettede debiterede vandmængde i 2013</w:t>
      </w:r>
      <w:r w:rsidR="00E7545B">
        <w:t xml:space="preserve"> lægges</w:t>
      </w:r>
      <w:r w:rsidR="00870227">
        <w:t xml:space="preserve"> til grund for b</w:t>
      </w:r>
      <w:r w:rsidR="00870227">
        <w:t>e</w:t>
      </w:r>
      <w:r w:rsidR="00870227">
        <w:t>regningen af prisloftet for 2015</w:t>
      </w:r>
      <w:r w:rsidR="00D9148C">
        <w:t>, jf. § 3, stk. 5</w:t>
      </w:r>
      <w:r w:rsidR="00870227">
        <w:t xml:space="preserve">. </w:t>
      </w:r>
    </w:p>
    <w:p w:rsidR="00EA41B5" w:rsidP="00760E95" w:rsidRDefault="00EA41B5">
      <w:pPr>
        <w:jc w:val="both"/>
      </w:pPr>
    </w:p>
    <w:p w:rsidR="00F003BC" w:rsidP="00760E95" w:rsidRDefault="00C01F8B">
      <w:pPr>
        <w:jc w:val="both"/>
      </w:pPr>
      <w:r>
        <w:t xml:space="preserve">Selskabets </w:t>
      </w:r>
      <w:r w:rsidR="00841B64">
        <w:t xml:space="preserve">afgørelse om </w:t>
      </w:r>
      <w:r>
        <w:t>prisloft</w:t>
      </w:r>
      <w:r w:rsidR="00315D2D">
        <w:t>et</w:t>
      </w:r>
      <w:r>
        <w:t xml:space="preserve"> for 2015 er delt op, således at </w:t>
      </w:r>
      <w:r w:rsidRPr="00315D2D" w:rsidR="00F003BC">
        <w:rPr>
          <w:i/>
        </w:rPr>
        <w:t>begru</w:t>
      </w:r>
      <w:r w:rsidRPr="00315D2D" w:rsidR="00F003BC">
        <w:rPr>
          <w:i/>
        </w:rPr>
        <w:t>n</w:t>
      </w:r>
      <w:r w:rsidRPr="00315D2D" w:rsidR="00F003BC">
        <w:rPr>
          <w:i/>
        </w:rPr>
        <w:t>delsen</w:t>
      </w:r>
      <w:r w:rsidR="00F003BC">
        <w:t xml:space="preserve"> for de fastsatte beløb fremgår af nærværende afgørelse, mens se</w:t>
      </w:r>
      <w:r w:rsidR="00F003BC">
        <w:t>l</w:t>
      </w:r>
      <w:r w:rsidR="00F003BC">
        <w:t xml:space="preserve">ve </w:t>
      </w:r>
      <w:r w:rsidRPr="00315D2D" w:rsidR="00F003BC">
        <w:rPr>
          <w:i/>
        </w:rPr>
        <w:t>beregningen</w:t>
      </w:r>
      <w:r w:rsidR="00F003BC">
        <w:t xml:space="preserve"> af prisloftet fremgår af bilag A. </w:t>
      </w:r>
    </w:p>
    <w:p w:rsidR="00C01F8B" w:rsidP="00760E95" w:rsidRDefault="00C01F8B">
      <w:pPr>
        <w:jc w:val="both"/>
      </w:pPr>
    </w:p>
    <w:p w:rsidR="008A7EA7" w:rsidP="00760E95" w:rsidRDefault="00060B7A">
      <w:pPr>
        <w:jc w:val="both"/>
      </w:pPr>
      <w:r>
        <w:t>På fane 1</w:t>
      </w:r>
      <w:r w:rsidR="00887077">
        <w:t xml:space="preserve"> </w:t>
      </w:r>
      <w:r w:rsidR="00C01F8B">
        <w:t xml:space="preserve">i bilag A </w:t>
      </w:r>
      <w:r w:rsidR="00887077">
        <w:t xml:space="preserve">findes en indholdsfortegnelse for bilaget. På </w:t>
      </w:r>
      <w:r w:rsidR="007636F0">
        <w:t xml:space="preserve">fane </w:t>
      </w:r>
      <w:r>
        <w:t>2</w:t>
      </w:r>
      <w:r w:rsidR="007636F0">
        <w:t xml:space="preserve"> </w:t>
      </w:r>
      <w:r w:rsidR="00887077">
        <w:t>findes</w:t>
      </w:r>
      <w:r w:rsidR="007636F0">
        <w:t xml:space="preserve"> en opgørelse af det sam</w:t>
      </w:r>
      <w:r w:rsidR="00AB7843">
        <w:t>lede prisloft for 2015. På</w:t>
      </w:r>
      <w:r w:rsidR="007636F0">
        <w:t xml:space="preserve"> de resterende f</w:t>
      </w:r>
      <w:r w:rsidR="007636F0">
        <w:t>a</w:t>
      </w:r>
      <w:r w:rsidR="007636F0">
        <w:t>ner findes opgørelser</w:t>
      </w:r>
      <w:r w:rsidR="000E637E">
        <w:t>ne for</w:t>
      </w:r>
      <w:r w:rsidR="007636F0">
        <w:t xml:space="preserve"> de enkelte </w:t>
      </w:r>
      <w:r w:rsidR="004E7F24">
        <w:t xml:space="preserve">dele af </w:t>
      </w:r>
      <w:r w:rsidR="00887077">
        <w:t xml:space="preserve">selskabets </w:t>
      </w:r>
      <w:r w:rsidR="007636F0">
        <w:t>prisloft</w:t>
      </w:r>
      <w:r w:rsidR="00887077">
        <w:t xml:space="preserve"> for 2015</w:t>
      </w:r>
      <w:r w:rsidR="007636F0">
        <w:t xml:space="preserve">. </w:t>
      </w:r>
      <w:r w:rsidR="00F41788">
        <w:t xml:space="preserve">På fane 1 og 2 er der links til disse faner. </w:t>
      </w:r>
      <w:r w:rsidR="00B04B52">
        <w:t xml:space="preserve">Begrundelserne for de fastsatte beløb gennemgås enkeltvis </w:t>
      </w:r>
      <w:r w:rsidR="00AB7843">
        <w:t>nedenfor</w:t>
      </w:r>
      <w:r w:rsidR="00B04B52">
        <w:t>.</w:t>
      </w:r>
    </w:p>
    <w:p w:rsidR="00AE2602" w:rsidP="00760E95" w:rsidRDefault="00AE2602">
      <w:pPr>
        <w:jc w:val="both"/>
      </w:pPr>
    </w:p>
    <w:p w:rsidR="007B2AB6" w:rsidP="00760E95" w:rsidRDefault="007B2AB6">
      <w:pPr>
        <w:pStyle w:val="Overskrift1"/>
        <w:jc w:val="both"/>
        <w:rPr>
          <w:sz w:val="28"/>
          <w:szCs w:val="28"/>
        </w:rPr>
      </w:pPr>
    </w:p>
    <w:p w:rsidR="00244B2A" w:rsidP="00760E95" w:rsidRDefault="00244B2A">
      <w:pPr>
        <w:pStyle w:val="Overskrift1"/>
        <w:jc w:val="both"/>
        <w:rPr>
          <w:sz w:val="28"/>
          <w:szCs w:val="28"/>
        </w:rPr>
      </w:pPr>
      <w:r w:rsidRPr="002420A2">
        <w:rPr>
          <w:sz w:val="28"/>
          <w:szCs w:val="28"/>
        </w:rPr>
        <w:t>Driftsomkostninger</w:t>
      </w:r>
      <w:r w:rsidR="00427DE9">
        <w:rPr>
          <w:sz w:val="28"/>
          <w:szCs w:val="28"/>
        </w:rPr>
        <w:t xml:space="preserve"> </w:t>
      </w:r>
    </w:p>
    <w:p w:rsidR="00244B2A" w:rsidP="00760E95" w:rsidRDefault="00244B2A">
      <w:pPr>
        <w:jc w:val="both"/>
      </w:pPr>
    </w:p>
    <w:p w:rsidR="00BF1CF0" w:rsidP="00760E95" w:rsidRDefault="00BF1CF0">
      <w:pPr>
        <w:jc w:val="both"/>
        <w:rPr>
          <w:szCs w:val="24"/>
        </w:rPr>
      </w:pPr>
      <w:r>
        <w:rPr>
          <w:szCs w:val="24"/>
        </w:rPr>
        <w:t>Ifølge prisloftbekendtgørelsens § 5, stk. 1, fastsættes de almindelige driftsomkostninger i prisloftet for 2015 som driftsomkostningerne i pri</w:t>
      </w:r>
      <w:r>
        <w:rPr>
          <w:szCs w:val="24"/>
        </w:rPr>
        <w:t>s</w:t>
      </w:r>
      <w:r>
        <w:rPr>
          <w:szCs w:val="24"/>
        </w:rPr>
        <w:t>loftet for 2014 korrigeret for</w:t>
      </w:r>
      <w:r w:rsidR="006635EC">
        <w:rPr>
          <w:szCs w:val="24"/>
        </w:rPr>
        <w:t xml:space="preserve"> prisudvikling og</w:t>
      </w:r>
      <w:r>
        <w:rPr>
          <w:szCs w:val="24"/>
        </w:rPr>
        <w:t xml:space="preserve"> effektiviseringskrav.</w:t>
      </w:r>
    </w:p>
    <w:p w:rsidR="00BF1CF0" w:rsidP="00760E95" w:rsidRDefault="00BF1CF0">
      <w:pPr>
        <w:jc w:val="both"/>
      </w:pPr>
    </w:p>
    <w:p w:rsidRPr="00E55A3E" w:rsidR="00807134" w:rsidP="00760E95" w:rsidRDefault="002E2D9C">
      <w:pPr>
        <w:jc w:val="both"/>
        <w:rPr>
          <w:b/>
          <w:szCs w:val="24"/>
        </w:rPr>
      </w:pPr>
      <w:r w:rsidRPr="00E55A3E">
        <w:rPr>
          <w:b/>
          <w:szCs w:val="24"/>
        </w:rPr>
        <w:t xml:space="preserve">Korrektion af driftsomkostningerne </w:t>
      </w:r>
    </w:p>
    <w:p w:rsidR="00E55A3E" w:rsidP="00760E95" w:rsidRDefault="00E55A3E">
      <w:pPr>
        <w:jc w:val="both"/>
        <w:rPr>
          <w:szCs w:val="24"/>
        </w:rPr>
      </w:pPr>
      <w:r>
        <w:rPr>
          <w:szCs w:val="24"/>
        </w:rPr>
        <w:t>D</w:t>
      </w:r>
      <w:r w:rsidRPr="00E55A3E">
        <w:rPr>
          <w:szCs w:val="24"/>
        </w:rPr>
        <w:t>riftsomkostninger</w:t>
      </w:r>
      <w:r>
        <w:rPr>
          <w:szCs w:val="24"/>
        </w:rPr>
        <w:t>ne</w:t>
      </w:r>
      <w:r w:rsidRPr="00E55A3E">
        <w:rPr>
          <w:szCs w:val="24"/>
        </w:rPr>
        <w:t xml:space="preserve"> i prisloftet for 2014 skal</w:t>
      </w:r>
      <w:r>
        <w:rPr>
          <w:szCs w:val="24"/>
        </w:rPr>
        <w:t xml:space="preserve"> ifølge § 5, stk. 1, korrig</w:t>
      </w:r>
      <w:r>
        <w:rPr>
          <w:szCs w:val="24"/>
        </w:rPr>
        <w:t>e</w:t>
      </w:r>
      <w:r>
        <w:rPr>
          <w:szCs w:val="24"/>
        </w:rPr>
        <w:t>res for væsentlige omkostninger</w:t>
      </w:r>
      <w:r w:rsidR="00193C1A">
        <w:rPr>
          <w:szCs w:val="24"/>
        </w:rPr>
        <w:t>, som er bortfaldet siden perioden 2003-</w:t>
      </w:r>
      <w:r w:rsidR="0091587E">
        <w:rPr>
          <w:szCs w:val="24"/>
        </w:rPr>
        <w:t>20</w:t>
      </w:r>
      <w:r w:rsidR="00193C1A">
        <w:rPr>
          <w:szCs w:val="24"/>
        </w:rPr>
        <w:t xml:space="preserve">05 og/eller forventes at bortfalde inden 2015. </w:t>
      </w:r>
      <w:r>
        <w:rPr>
          <w:szCs w:val="24"/>
        </w:rPr>
        <w:t>Et eventuelt bortfald fremgår af bilag A</w:t>
      </w:r>
      <w:r w:rsidR="004150AC">
        <w:rPr>
          <w:szCs w:val="24"/>
        </w:rPr>
        <w:t xml:space="preserve">, </w:t>
      </w:r>
      <w:r w:rsidR="00060B7A">
        <w:rPr>
          <w:szCs w:val="24"/>
        </w:rPr>
        <w:t>fane 3</w:t>
      </w:r>
      <w:r>
        <w:rPr>
          <w:szCs w:val="24"/>
        </w:rPr>
        <w:t>.</w:t>
      </w:r>
    </w:p>
    <w:p w:rsidR="00E55A3E" w:rsidP="00760E95" w:rsidRDefault="00E55A3E">
      <w:pPr>
        <w:jc w:val="both"/>
        <w:rPr>
          <w:szCs w:val="24"/>
        </w:rPr>
      </w:pPr>
    </w:p>
    <w:p w:rsidR="00FA6C0A" w:rsidP="00760E95" w:rsidRDefault="00E64D71">
      <w:pPr>
        <w:jc w:val="both"/>
      </w:pPr>
      <w:r>
        <w:t>Dr</w:t>
      </w:r>
      <w:r w:rsidR="006859EA">
        <w:t>iftsomkostninger</w:t>
      </w:r>
      <w:r>
        <w:t>ne</w:t>
      </w:r>
      <w:r w:rsidR="006859EA">
        <w:t xml:space="preserve"> i prisloftet for 2014 korrigeres </w:t>
      </w:r>
      <w:r>
        <w:t xml:space="preserve">derudover </w:t>
      </w:r>
      <w:r w:rsidR="006859EA">
        <w:t>for pri</w:t>
      </w:r>
      <w:r w:rsidR="006859EA">
        <w:t>s</w:t>
      </w:r>
      <w:r w:rsidR="006859EA">
        <w:t xml:space="preserve">udviklingen fra 2014 til 2015, jf. </w:t>
      </w:r>
      <w:r w:rsidR="002E2D9C">
        <w:t xml:space="preserve">prisloftbekendtgørelsens </w:t>
      </w:r>
      <w:r w:rsidR="006859EA">
        <w:t>§ 32, stk. 2.</w:t>
      </w:r>
      <w:r w:rsidR="00075128">
        <w:t xml:space="preserve"> </w:t>
      </w:r>
      <w:r w:rsidR="00FA6C0A">
        <w:t>Forsyningssekretariatet har foretaget en opgørelse af prisudviklin</w:t>
      </w:r>
      <w:r w:rsidR="0019019C">
        <w:t>gen, som fremgår af bilag 1</w:t>
      </w:r>
      <w:r w:rsidR="00934710">
        <w:rPr>
          <w:rStyle w:val="Fodnotehenvisning"/>
        </w:rPr>
        <w:footnoteReference w:id="1"/>
      </w:r>
      <w:r w:rsidR="00687A30">
        <w:t>.</w:t>
      </w:r>
      <w:r w:rsidR="002B6EA1">
        <w:t xml:space="preserve"> Prisudviklingen fra 2014 til 2015 er opgjort til 0,08 procent.</w:t>
      </w:r>
      <w:r w:rsidR="00687A30">
        <w:t xml:space="preserve"> Selskabets </w:t>
      </w:r>
      <w:r w:rsidR="00FA6C0A">
        <w:t>korrektion for prisudviklingen fremgår af bilag A</w:t>
      </w:r>
      <w:r w:rsidR="004150AC">
        <w:t xml:space="preserve">, </w:t>
      </w:r>
      <w:r w:rsidR="00060B7A">
        <w:rPr>
          <w:szCs w:val="24"/>
        </w:rPr>
        <w:t>fane 3</w:t>
      </w:r>
      <w:r w:rsidR="004150AC">
        <w:rPr>
          <w:szCs w:val="24"/>
        </w:rPr>
        <w:t>.</w:t>
      </w:r>
    </w:p>
    <w:p w:rsidR="006859EA" w:rsidP="00760E95" w:rsidRDefault="006859EA">
      <w:pPr>
        <w:jc w:val="both"/>
        <w:rPr>
          <w:szCs w:val="24"/>
        </w:rPr>
      </w:pPr>
    </w:p>
    <w:p w:rsidR="00FA6C0A" w:rsidP="00760E95" w:rsidRDefault="00FA6C0A">
      <w:pPr>
        <w:jc w:val="both"/>
      </w:pPr>
      <w:r>
        <w:t>Ifølge § 5, stk. 1, kan de pristalskorrigerede driftsomkostninger ikke fas</w:t>
      </w:r>
      <w:r>
        <w:t>t</w:t>
      </w:r>
      <w:r>
        <w:t xml:space="preserve">sættes lavere end det, der udgør de effektive driftsomkostninger for et </w:t>
      </w:r>
      <w:r>
        <w:lastRenderedPageBreak/>
        <w:t>vandselskab i henhold til beregningerne i benchmarkingen.</w:t>
      </w:r>
      <w:r w:rsidRPr="00E87B0C">
        <w:rPr>
          <w:szCs w:val="24"/>
        </w:rPr>
        <w:t xml:space="preserve"> </w:t>
      </w:r>
      <w:r>
        <w:rPr>
          <w:szCs w:val="24"/>
        </w:rPr>
        <w:t xml:space="preserve">Selskabets </w:t>
      </w:r>
      <w:r w:rsidR="001A1C48">
        <w:rPr>
          <w:szCs w:val="24"/>
        </w:rPr>
        <w:t xml:space="preserve">pristalskorrigerede </w:t>
      </w:r>
      <w:r>
        <w:rPr>
          <w:szCs w:val="24"/>
        </w:rPr>
        <w:t>driftsomkostninger</w:t>
      </w:r>
      <w:r w:rsidR="001A1C48">
        <w:rPr>
          <w:szCs w:val="24"/>
        </w:rPr>
        <w:t xml:space="preserve"> kan derfor blive</w:t>
      </w:r>
      <w:r>
        <w:rPr>
          <w:szCs w:val="24"/>
        </w:rPr>
        <w:t xml:space="preserve"> forhøjet på ba</w:t>
      </w:r>
      <w:r>
        <w:rPr>
          <w:szCs w:val="24"/>
        </w:rPr>
        <w:t>g</w:t>
      </w:r>
      <w:r>
        <w:rPr>
          <w:szCs w:val="24"/>
        </w:rPr>
        <w:t xml:space="preserve">grund heraf. </w:t>
      </w:r>
      <w:r>
        <w:t>En eventuel forhøjelse til effektivt niveau fremgår af bilag A</w:t>
      </w:r>
      <w:r w:rsidR="004150AC">
        <w:t xml:space="preserve">, </w:t>
      </w:r>
      <w:r w:rsidR="00060B7A">
        <w:rPr>
          <w:szCs w:val="24"/>
        </w:rPr>
        <w:t>fane 3</w:t>
      </w:r>
      <w:r w:rsidR="004150AC">
        <w:rPr>
          <w:szCs w:val="24"/>
        </w:rPr>
        <w:t>.</w:t>
      </w:r>
    </w:p>
    <w:p w:rsidR="005D2BF4" w:rsidP="00760E95" w:rsidRDefault="005D2BF4">
      <w:pPr>
        <w:jc w:val="both"/>
      </w:pPr>
    </w:p>
    <w:p w:rsidRPr="00075DCF" w:rsidR="00807134" w:rsidP="00760E95" w:rsidRDefault="00807134">
      <w:pPr>
        <w:jc w:val="both"/>
        <w:rPr>
          <w:b/>
          <w:szCs w:val="24"/>
        </w:rPr>
      </w:pPr>
      <w:r w:rsidRPr="00075DCF">
        <w:rPr>
          <w:b/>
          <w:szCs w:val="24"/>
        </w:rPr>
        <w:t>Korrektion for generelt effektiviseringskrav</w:t>
      </w:r>
    </w:p>
    <w:p w:rsidR="00807134" w:rsidP="00760E95" w:rsidRDefault="00807134">
      <w:pPr>
        <w:autoSpaceDE w:val="0"/>
        <w:autoSpaceDN w:val="0"/>
        <w:adjustRightInd w:val="0"/>
        <w:jc w:val="both"/>
      </w:pPr>
      <w:r>
        <w:t xml:space="preserve">Det fremgår </w:t>
      </w:r>
      <w:r w:rsidR="00A835AE">
        <w:t>end</w:t>
      </w:r>
      <w:r w:rsidR="00F17334">
        <w:t xml:space="preserve">videre </w:t>
      </w:r>
      <w:r w:rsidR="005342A5">
        <w:t xml:space="preserve">af </w:t>
      </w:r>
      <w:r w:rsidR="006256EC">
        <w:t>prisloft</w:t>
      </w:r>
      <w:r>
        <w:t xml:space="preserve">bekendtgørelsens § 5, stk. 1, at </w:t>
      </w:r>
      <w:r w:rsidR="00FE0383">
        <w:t>drift</w:t>
      </w:r>
      <w:r w:rsidR="00FE0383">
        <w:t>s</w:t>
      </w:r>
      <w:r w:rsidR="00FE0383">
        <w:t>omkostningerne</w:t>
      </w:r>
      <w:r w:rsidR="00B658B4">
        <w:t xml:space="preserve"> reduceres </w:t>
      </w:r>
      <w:r w:rsidR="00625E35">
        <w:t xml:space="preserve">som følge </w:t>
      </w:r>
      <w:r w:rsidR="00B658B4">
        <w:t>af det generelle</w:t>
      </w:r>
      <w:r>
        <w:t xml:space="preserve"> effektivisering</w:t>
      </w:r>
      <w:r>
        <w:t>s</w:t>
      </w:r>
      <w:r>
        <w:t>krav.</w:t>
      </w:r>
    </w:p>
    <w:p w:rsidR="00807134" w:rsidP="00760E95" w:rsidRDefault="00807134">
      <w:pPr>
        <w:autoSpaceDE w:val="0"/>
        <w:autoSpaceDN w:val="0"/>
        <w:adjustRightInd w:val="0"/>
        <w:jc w:val="both"/>
      </w:pPr>
    </w:p>
    <w:p w:rsidR="00807134" w:rsidP="00760E95" w:rsidRDefault="00EF400C">
      <w:pPr>
        <w:autoSpaceDE w:val="0"/>
        <w:autoSpaceDN w:val="0"/>
        <w:adjustRightInd w:val="0"/>
        <w:jc w:val="both"/>
      </w:pPr>
      <w:r>
        <w:t>Det generelle effektiviseringskrav fastsættes på baggrund af den ge</w:t>
      </w:r>
      <w:r>
        <w:t>n</w:t>
      </w:r>
      <w:r>
        <w:t>nemsnitlige produktivitetsudvikling i overensstemmelse med prisloftsb</w:t>
      </w:r>
      <w:r>
        <w:t>e</w:t>
      </w:r>
      <w:r>
        <w:t xml:space="preserve">kendtgørelsens § 14, stk. 1. </w:t>
      </w:r>
      <w:r w:rsidRPr="002B6EA1" w:rsidR="001B5EE5">
        <w:t>Forsyningssekretariatet har foretaget en b</w:t>
      </w:r>
      <w:r w:rsidRPr="002B6EA1" w:rsidR="001B5EE5">
        <w:t>e</w:t>
      </w:r>
      <w:r w:rsidRPr="002B6EA1" w:rsidR="001B5EE5">
        <w:t xml:space="preserve">regning af </w:t>
      </w:r>
      <w:r w:rsidRPr="002B6EA1">
        <w:t>produktivitetsudviklingen</w:t>
      </w:r>
      <w:r w:rsidRPr="002B6EA1" w:rsidR="0019019C">
        <w:t>, som fremgår af bilag 1</w:t>
      </w:r>
      <w:r w:rsidRPr="002B6EA1" w:rsidR="001B5EE5">
        <w:t xml:space="preserve">. </w:t>
      </w:r>
      <w:r w:rsidRPr="002B6EA1" w:rsidR="00D50DB9">
        <w:t>B</w:t>
      </w:r>
      <w:r w:rsidRPr="002B6EA1" w:rsidR="001B5EE5">
        <w:t>eregni</w:t>
      </w:r>
      <w:r w:rsidRPr="002B6EA1" w:rsidR="001B5EE5">
        <w:t>n</w:t>
      </w:r>
      <w:r w:rsidRPr="002B6EA1" w:rsidR="001B5EE5">
        <w:t>gen</w:t>
      </w:r>
      <w:r w:rsidRPr="002B6EA1" w:rsidR="00D50DB9">
        <w:t xml:space="preserve"> viser</w:t>
      </w:r>
      <w:r w:rsidRPr="002B6EA1" w:rsidR="001B5EE5">
        <w:t xml:space="preserve">, at </w:t>
      </w:r>
      <w:r w:rsidRPr="002B6EA1" w:rsidR="00F502C8">
        <w:t xml:space="preserve">det </w:t>
      </w:r>
      <w:r w:rsidRPr="002B6EA1" w:rsidR="00807134">
        <w:t>generelle effektiviseringskrav i prisloftet for 201</w:t>
      </w:r>
      <w:r w:rsidRPr="002B6EA1" w:rsidR="001B5EE5">
        <w:t>5</w:t>
      </w:r>
      <w:r w:rsidRPr="002B6EA1" w:rsidR="002B6EA1">
        <w:t xml:space="preserve"> er på 0,44 procent</w:t>
      </w:r>
      <w:r w:rsidRPr="002B6EA1" w:rsidR="00807134">
        <w:t>.</w:t>
      </w:r>
      <w:r w:rsidRPr="002B6EA1" w:rsidR="004150AC">
        <w:t xml:space="preserve"> Kravet er gengivet i bilag A, </w:t>
      </w:r>
      <w:r w:rsidRPr="002B6EA1" w:rsidR="00060B7A">
        <w:rPr>
          <w:szCs w:val="24"/>
        </w:rPr>
        <w:t>fane 3</w:t>
      </w:r>
      <w:r w:rsidRPr="002B6EA1" w:rsidR="004150AC">
        <w:t>.</w:t>
      </w:r>
    </w:p>
    <w:p w:rsidR="00672CBE" w:rsidP="00760E95" w:rsidRDefault="00672CBE">
      <w:pPr>
        <w:jc w:val="both"/>
      </w:pPr>
    </w:p>
    <w:p w:rsidRPr="00075DCF" w:rsidR="005E17FB" w:rsidP="00760E95" w:rsidRDefault="005E17FB">
      <w:pPr>
        <w:jc w:val="both"/>
        <w:rPr>
          <w:b/>
          <w:szCs w:val="24"/>
        </w:rPr>
      </w:pPr>
      <w:r w:rsidRPr="00075DCF">
        <w:rPr>
          <w:b/>
          <w:szCs w:val="24"/>
        </w:rPr>
        <w:t>Korrektion for individuelt effektiviseringskrav</w:t>
      </w:r>
    </w:p>
    <w:p w:rsidR="00F12E23" w:rsidP="00760E95" w:rsidRDefault="005E17FB">
      <w:pPr>
        <w:jc w:val="both"/>
        <w:rPr>
          <w:color w:val="000000"/>
        </w:rPr>
      </w:pPr>
      <w:r>
        <w:rPr>
          <w:color w:val="000000"/>
        </w:rPr>
        <w:t>Ifølge prisloftbekendtgørelsens § 5, stk. 1, skal driftsomko</w:t>
      </w:r>
      <w:r w:rsidR="00F12E23">
        <w:rPr>
          <w:color w:val="000000"/>
        </w:rPr>
        <w:t xml:space="preserve">stningerne derudover reduceres som følge af </w:t>
      </w:r>
      <w:r w:rsidR="00AF5FA8">
        <w:rPr>
          <w:color w:val="000000"/>
        </w:rPr>
        <w:t>det individuelle</w:t>
      </w:r>
      <w:r>
        <w:rPr>
          <w:color w:val="000000"/>
        </w:rPr>
        <w:t xml:space="preserve"> effektiviseringskrav. </w:t>
      </w:r>
    </w:p>
    <w:p w:rsidR="00F12E23" w:rsidP="00760E95" w:rsidRDefault="00F12E23">
      <w:pPr>
        <w:jc w:val="both"/>
        <w:rPr>
          <w:color w:val="000000"/>
        </w:rPr>
      </w:pPr>
    </w:p>
    <w:p w:rsidR="005E17FB" w:rsidP="00760E95" w:rsidRDefault="005E17FB">
      <w:pPr>
        <w:jc w:val="both"/>
        <w:rPr>
          <w:color w:val="000000"/>
        </w:rPr>
      </w:pPr>
      <w:r>
        <w:rPr>
          <w:color w:val="000000"/>
        </w:rPr>
        <w:t xml:space="preserve">Det individuelle effektiviseringskrav fastsættes på baggrund af </w:t>
      </w:r>
      <w:r w:rsidR="00696B63">
        <w:rPr>
          <w:color w:val="000000"/>
        </w:rPr>
        <w:t xml:space="preserve">det </w:t>
      </w:r>
      <w:r w:rsidR="00DB132E">
        <w:rPr>
          <w:color w:val="000000"/>
        </w:rPr>
        <w:t>b</w:t>
      </w:r>
      <w:r w:rsidR="00DB132E">
        <w:rPr>
          <w:color w:val="000000"/>
        </w:rPr>
        <w:t>e</w:t>
      </w:r>
      <w:r w:rsidR="00DB132E">
        <w:rPr>
          <w:color w:val="000000"/>
        </w:rPr>
        <w:t>regnede</w:t>
      </w:r>
      <w:r w:rsidR="00696B63">
        <w:rPr>
          <w:color w:val="000000"/>
        </w:rPr>
        <w:t xml:space="preserve"> effektiviseringspotentiale</w:t>
      </w:r>
      <w:r w:rsidR="00DB132E">
        <w:rPr>
          <w:color w:val="000000"/>
        </w:rPr>
        <w:t xml:space="preserve"> i</w:t>
      </w:r>
      <w:r w:rsidR="00696B63">
        <w:rPr>
          <w:color w:val="000000"/>
        </w:rPr>
        <w:t xml:space="preserve"> </w:t>
      </w:r>
      <w:r>
        <w:rPr>
          <w:color w:val="000000"/>
        </w:rPr>
        <w:t>Forsyningssekretariatets resultator</w:t>
      </w:r>
      <w:r>
        <w:rPr>
          <w:color w:val="000000"/>
        </w:rPr>
        <w:t>i</w:t>
      </w:r>
      <w:r>
        <w:rPr>
          <w:color w:val="000000"/>
        </w:rPr>
        <w:t>enterede benchmarking, jf. § 15, stk. 1. Modellen og resultaterne af benchmarkingen er offentliggjort på Konkurrence- og Forbrugerstyre</w:t>
      </w:r>
      <w:r>
        <w:rPr>
          <w:color w:val="000000"/>
        </w:rPr>
        <w:t>l</w:t>
      </w:r>
      <w:r>
        <w:rPr>
          <w:color w:val="000000"/>
        </w:rPr>
        <w:t>sens hjemmeside</w:t>
      </w:r>
      <w:r w:rsidR="00F074BC">
        <w:rPr>
          <w:rStyle w:val="Fodnotehenvisning"/>
          <w:color w:val="000000"/>
        </w:rPr>
        <w:footnoteReference w:id="2"/>
      </w:r>
      <w:r w:rsidR="00D1447C">
        <w:rPr>
          <w:color w:val="000000"/>
        </w:rPr>
        <w:t>, jf. § 27, stk. 2</w:t>
      </w:r>
      <w:r w:rsidR="00F074BC">
        <w:rPr>
          <w:color w:val="000000"/>
        </w:rPr>
        <w:t>.</w:t>
      </w:r>
    </w:p>
    <w:p w:rsidR="00665711" w:rsidP="00760E95" w:rsidRDefault="00665711">
      <w:pPr>
        <w:jc w:val="both"/>
        <w:rPr>
          <w:color w:val="000000"/>
        </w:rPr>
      </w:pPr>
    </w:p>
    <w:p w:rsidR="005E17FB" w:rsidP="00760E95" w:rsidRDefault="005E17FB">
      <w:pPr>
        <w:jc w:val="both"/>
        <w:rPr>
          <w:color w:val="000000"/>
        </w:rPr>
      </w:pPr>
      <w:r>
        <w:rPr>
          <w:color w:val="000000"/>
        </w:rPr>
        <w:t>Ved fastsættelsen af selskabets individuelle effektiviseringspotentiale f</w:t>
      </w:r>
      <w:r>
        <w:rPr>
          <w:color w:val="000000"/>
        </w:rPr>
        <w:t>o</w:t>
      </w:r>
      <w:r>
        <w:rPr>
          <w:color w:val="000000"/>
        </w:rPr>
        <w:t>retages en række trin for at sikre, at effektiviseringspotentiale</w:t>
      </w:r>
      <w:r w:rsidR="00E87054">
        <w:rPr>
          <w:color w:val="000000"/>
        </w:rPr>
        <w:t>t</w:t>
      </w:r>
      <w:r>
        <w:rPr>
          <w:color w:val="000000"/>
        </w:rPr>
        <w:t xml:space="preserve"> er retv</w:t>
      </w:r>
      <w:r>
        <w:rPr>
          <w:color w:val="000000"/>
        </w:rPr>
        <w:t>i</w:t>
      </w:r>
      <w:r>
        <w:rPr>
          <w:color w:val="000000"/>
        </w:rPr>
        <w:t>sende. Der tages blandt andet hensyn til selskabets</w:t>
      </w:r>
      <w:r w:rsidR="005342A5">
        <w:rPr>
          <w:color w:val="000000"/>
        </w:rPr>
        <w:t xml:space="preserve"> eventuelle</w:t>
      </w:r>
      <w:r>
        <w:rPr>
          <w:color w:val="000000"/>
        </w:rPr>
        <w:t xml:space="preserve"> særlige forhold samt om selskabets sammensætning af </w:t>
      </w:r>
      <w:proofErr w:type="spellStart"/>
      <w:r>
        <w:rPr>
          <w:color w:val="000000"/>
        </w:rPr>
        <w:t>costdrivere</w:t>
      </w:r>
      <w:proofErr w:type="spellEnd"/>
      <w:r>
        <w:rPr>
          <w:color w:val="000000"/>
        </w:rPr>
        <w:t xml:space="preserve"> har betydning for selskabets effektiviseringspotentiale.</w:t>
      </w:r>
      <w:r w:rsidR="00E87054">
        <w:rPr>
          <w:color w:val="000000"/>
        </w:rPr>
        <w:t xml:space="preserve"> </w:t>
      </w:r>
      <w:r>
        <w:rPr>
          <w:color w:val="000000"/>
        </w:rPr>
        <w:t xml:space="preserve">For en nærmere beskrivelse af benchmarkingmodellen henvises til </w:t>
      </w:r>
      <w:r w:rsidR="00C50B59">
        <w:rPr>
          <w:color w:val="000000"/>
        </w:rPr>
        <w:t xml:space="preserve">papiret </w:t>
      </w:r>
      <w:r>
        <w:rPr>
          <w:color w:val="000000"/>
        </w:rPr>
        <w:t>”Resultatorienteret benc</w:t>
      </w:r>
      <w:r>
        <w:rPr>
          <w:color w:val="000000"/>
        </w:rPr>
        <w:t>h</w:t>
      </w:r>
      <w:r>
        <w:rPr>
          <w:color w:val="000000"/>
        </w:rPr>
        <w:t>marking for 2015”</w:t>
      </w:r>
      <w:r w:rsidR="0068191A">
        <w:rPr>
          <w:color w:val="000000"/>
        </w:rPr>
        <w:t>, som ligeledes er offentliggjort på Konkurrence- og Forbrugerstyrelsens hjemmeside</w:t>
      </w:r>
      <w:r w:rsidR="001E1261">
        <w:rPr>
          <w:color w:val="000000"/>
        </w:rPr>
        <w:t>.</w:t>
      </w:r>
    </w:p>
    <w:p w:rsidR="005E17FB" w:rsidP="00760E95" w:rsidRDefault="005E17FB">
      <w:pPr>
        <w:jc w:val="both"/>
        <w:rPr>
          <w:color w:val="000000"/>
        </w:rPr>
      </w:pPr>
    </w:p>
    <w:p w:rsidRPr="000E216D" w:rsidR="005E17FB" w:rsidP="00760E95" w:rsidRDefault="005E17FB">
      <w:pPr>
        <w:jc w:val="both"/>
        <w:rPr>
          <w:color w:val="000000"/>
          <w:u w:val="single"/>
        </w:rPr>
      </w:pPr>
      <w:r>
        <w:rPr>
          <w:color w:val="000000"/>
          <w:u w:val="single"/>
        </w:rPr>
        <w:t>S</w:t>
      </w:r>
      <w:r w:rsidRPr="000E216D">
        <w:rPr>
          <w:color w:val="000000"/>
          <w:u w:val="single"/>
        </w:rPr>
        <w:t>ærlige forhold</w:t>
      </w:r>
    </w:p>
    <w:p w:rsidR="00E87054" w:rsidP="00CC3D75" w:rsidRDefault="005E17FB">
      <w:pPr>
        <w:jc w:val="both"/>
      </w:pPr>
      <w:r>
        <w:t>Selskabet har</w:t>
      </w:r>
      <w:r w:rsidR="00CC3D75">
        <w:t xml:space="preserve"> ikke</w:t>
      </w:r>
      <w:r>
        <w:t xml:space="preserve"> angivet </w:t>
      </w:r>
      <w:r w:rsidR="00CC3D75">
        <w:t xml:space="preserve">nogen </w:t>
      </w:r>
      <w:r>
        <w:t>særlige forhold</w:t>
      </w:r>
      <w:r w:rsidR="00CC3D75">
        <w:t>.</w:t>
      </w:r>
    </w:p>
    <w:p w:rsidR="005E17FB" w:rsidP="00760E95" w:rsidRDefault="005E17FB">
      <w:pPr>
        <w:jc w:val="both"/>
      </w:pPr>
    </w:p>
    <w:p w:rsidRPr="00E92116" w:rsidR="005E17FB" w:rsidP="00760E95" w:rsidRDefault="005E17FB">
      <w:pPr>
        <w:jc w:val="both"/>
        <w:rPr>
          <w:u w:val="single"/>
        </w:rPr>
      </w:pPr>
      <w:r>
        <w:rPr>
          <w:u w:val="single"/>
        </w:rPr>
        <w:t xml:space="preserve">Sammensætning af </w:t>
      </w:r>
      <w:proofErr w:type="spellStart"/>
      <w:r>
        <w:rPr>
          <w:u w:val="single"/>
        </w:rPr>
        <w:t>costdrivere</w:t>
      </w:r>
      <w:proofErr w:type="spellEnd"/>
    </w:p>
    <w:p w:rsidR="00A043FB" w:rsidP="00760E95" w:rsidRDefault="005E17FB">
      <w:pPr>
        <w:jc w:val="both"/>
      </w:pPr>
      <w:r>
        <w:t>Forsyningssekretariatet har gennemført en analyse af betydningen af se</w:t>
      </w:r>
      <w:r>
        <w:t>l</w:t>
      </w:r>
      <w:r>
        <w:t xml:space="preserve">skabernes sammensætning af </w:t>
      </w:r>
      <w:proofErr w:type="spellStart"/>
      <w:r>
        <w:t>costdrivere</w:t>
      </w:r>
      <w:proofErr w:type="spellEnd"/>
      <w:r>
        <w:t xml:space="preserve"> </w:t>
      </w:r>
      <w:r w:rsidR="007B5B8A">
        <w:t>i forhold til beregningen af de individuelle effektiviseringspotentialer. Analysen viser, at der kan være estimeret for</w:t>
      </w:r>
      <w:r w:rsidR="0082776B">
        <w:t xml:space="preserve"> </w:t>
      </w:r>
      <w:r w:rsidR="007B5B8A">
        <w:t xml:space="preserve">høje effektiviseringspotentialer for selskaber med en særlig sammensætning af </w:t>
      </w:r>
      <w:proofErr w:type="spellStart"/>
      <w:r w:rsidR="007B5B8A">
        <w:t>costdrivere</w:t>
      </w:r>
      <w:proofErr w:type="spellEnd"/>
      <w:r w:rsidR="007B5B8A">
        <w:t xml:space="preserve">. </w:t>
      </w:r>
      <w:r w:rsidR="00EB7F42">
        <w:t xml:space="preserve">Dette </w:t>
      </w:r>
      <w:r w:rsidR="007B5B8A">
        <w:t xml:space="preserve">kan </w:t>
      </w:r>
      <w:r w:rsidR="0082776B">
        <w:t xml:space="preserve">skyldes </w:t>
      </w:r>
      <w:r w:rsidR="007B5B8A">
        <w:t>en eventuel skæv all</w:t>
      </w:r>
      <w:r w:rsidR="007B5B8A">
        <w:t>o</w:t>
      </w:r>
      <w:r w:rsidR="007B5B8A">
        <w:t xml:space="preserve">kering af selskabernes omkostninger på </w:t>
      </w:r>
      <w:proofErr w:type="spellStart"/>
      <w:r w:rsidR="007B5B8A">
        <w:t>costdriverne</w:t>
      </w:r>
      <w:proofErr w:type="spellEnd"/>
      <w:r w:rsidR="007B5B8A">
        <w:t>.</w:t>
      </w:r>
      <w:r w:rsidR="0082776B">
        <w:t xml:space="preserve"> </w:t>
      </w:r>
      <w:r w:rsidR="00A043FB">
        <w:t>Såfremt</w:t>
      </w:r>
      <w:r w:rsidR="00177A37">
        <w:t xml:space="preserve"> selskabet </w:t>
      </w:r>
      <w:r w:rsidR="00177A37">
        <w:lastRenderedPageBreak/>
        <w:t>har fået estimeret et effektiviseringspotentiale, og de</w:t>
      </w:r>
      <w:r w:rsidR="00A043FB">
        <w:t>t</w:t>
      </w:r>
      <w:r w:rsidR="00177A37">
        <w:t xml:space="preserve"> samtidig har en særlig sammensætning af </w:t>
      </w:r>
      <w:proofErr w:type="spellStart"/>
      <w:r w:rsidR="00177A37">
        <w:t>costdriverne</w:t>
      </w:r>
      <w:proofErr w:type="spellEnd"/>
      <w:r w:rsidR="00177A37">
        <w:t>, vil effektiviseringspotentiale</w:t>
      </w:r>
      <w:r w:rsidR="00A043FB">
        <w:t>t</w:t>
      </w:r>
      <w:r w:rsidR="00177A37">
        <w:t xml:space="preserve"> </w:t>
      </w:r>
      <w:r w:rsidR="00A043FB">
        <w:t xml:space="preserve">derfor </w:t>
      </w:r>
      <w:r w:rsidR="00177A37">
        <w:t>bli</w:t>
      </w:r>
      <w:r w:rsidR="00A043FB">
        <w:t>ve reduceret</w:t>
      </w:r>
      <w:r w:rsidR="00177A37">
        <w:t xml:space="preserve">. </w:t>
      </w:r>
      <w:r>
        <w:t>En beskrivelse af analysen samt resultate</w:t>
      </w:r>
      <w:r w:rsidR="005342A5">
        <w:t>rne heraf</w:t>
      </w:r>
      <w:r w:rsidR="0019019C">
        <w:t xml:space="preserve"> kan ses i bilag 1</w:t>
      </w:r>
      <w:r w:rsidR="003317A6">
        <w:rPr>
          <w:rStyle w:val="Fodnotehenvisning"/>
        </w:rPr>
        <w:footnoteReference w:id="3"/>
      </w:r>
      <w:r>
        <w:t xml:space="preserve">. </w:t>
      </w:r>
    </w:p>
    <w:p w:rsidR="005E17FB" w:rsidP="00760E95" w:rsidRDefault="005E17FB">
      <w:pPr>
        <w:jc w:val="both"/>
      </w:pPr>
    </w:p>
    <w:p w:rsidRPr="007A79B1" w:rsidR="005E17FB" w:rsidP="00760E95" w:rsidRDefault="005E17FB">
      <w:pPr>
        <w:jc w:val="both"/>
        <w:rPr>
          <w:i/>
        </w:rPr>
      </w:pPr>
      <w:r w:rsidRPr="007A79B1">
        <w:rPr>
          <w:i/>
        </w:rPr>
        <w:t xml:space="preserve">Ingen udsving på </w:t>
      </w:r>
      <w:r>
        <w:rPr>
          <w:i/>
        </w:rPr>
        <w:t xml:space="preserve">signifikante </w:t>
      </w:r>
      <w:proofErr w:type="spellStart"/>
      <w:r>
        <w:rPr>
          <w:i/>
        </w:rPr>
        <w:t>costdriver</w:t>
      </w:r>
      <w:r w:rsidRPr="007A79B1">
        <w:rPr>
          <w:i/>
        </w:rPr>
        <w:t>e</w:t>
      </w:r>
      <w:proofErr w:type="spellEnd"/>
    </w:p>
    <w:p w:rsidR="005E17FB" w:rsidP="00760E95" w:rsidRDefault="005E17FB">
      <w:pPr>
        <w:jc w:val="both"/>
      </w:pPr>
      <w:r>
        <w:t xml:space="preserve">Selskabets sammensætning af </w:t>
      </w:r>
      <w:proofErr w:type="spellStart"/>
      <w:r>
        <w:t>costdrivere</w:t>
      </w:r>
      <w:proofErr w:type="spellEnd"/>
      <w:r>
        <w:t xml:space="preserve"> giver ikke anledning til en r</w:t>
      </w:r>
      <w:r>
        <w:t>e</w:t>
      </w:r>
      <w:r>
        <w:t>duktion i selskabets individuelle effektiviseringspotentiale</w:t>
      </w:r>
      <w:r w:rsidR="00E87054">
        <w:t>,</w:t>
      </w:r>
      <w:r>
        <w:t xml:space="preserve"> jf. bilag </w:t>
      </w:r>
      <w:r w:rsidRPr="008F11DB" w:rsidR="0019019C">
        <w:t>2</w:t>
      </w:r>
      <w:r w:rsidR="003317A6">
        <w:rPr>
          <w:rStyle w:val="Fodnotehenvisning"/>
        </w:rPr>
        <w:footnoteReference w:id="4"/>
      </w:r>
      <w:r>
        <w:t xml:space="preserve"> og </w:t>
      </w:r>
      <w:r w:rsidR="00F70685">
        <w:t xml:space="preserve">bilag </w:t>
      </w:r>
      <w:r>
        <w:t>A</w:t>
      </w:r>
      <w:r w:rsidR="00060B7A">
        <w:t>, fane 3.</w:t>
      </w:r>
      <w:r w:rsidR="005342A5">
        <w:t xml:space="preserve"> </w:t>
      </w:r>
    </w:p>
    <w:p w:rsidR="005E17FB" w:rsidP="00760E95" w:rsidRDefault="005E17FB">
      <w:pPr>
        <w:jc w:val="both"/>
        <w:rPr>
          <w:color w:val="000000"/>
        </w:rPr>
      </w:pPr>
    </w:p>
    <w:p w:rsidRPr="00010378" w:rsidR="005E17FB" w:rsidP="00760E95" w:rsidRDefault="005E17FB">
      <w:pPr>
        <w:jc w:val="both"/>
        <w:rPr>
          <w:color w:val="000000"/>
          <w:u w:val="single"/>
        </w:rPr>
      </w:pPr>
      <w:r>
        <w:rPr>
          <w:color w:val="000000"/>
          <w:u w:val="single"/>
        </w:rPr>
        <w:t>Samlet vurdering af det individuelle effektiviseringskrav</w:t>
      </w:r>
    </w:p>
    <w:p w:rsidR="005E17FB" w:rsidP="00760E95" w:rsidRDefault="005E17FB">
      <w:pPr>
        <w:jc w:val="both"/>
        <w:rPr>
          <w:color w:val="000000"/>
        </w:rPr>
      </w:pPr>
      <w:r>
        <w:rPr>
          <w:color w:val="000000"/>
        </w:rPr>
        <w:t xml:space="preserve">Selskabets effektiviseringspotentiale er beregnet som beskrevet i </w:t>
      </w:r>
      <w:r w:rsidR="00C50B59">
        <w:rPr>
          <w:color w:val="000000"/>
        </w:rPr>
        <w:t xml:space="preserve">papiret </w:t>
      </w:r>
      <w:r>
        <w:rPr>
          <w:color w:val="000000"/>
        </w:rPr>
        <w:t>”Resultatorienteret benchmarking for 2015”. Effektiviseringspotentialet kan blive reduceret på baggrund af eventuelle særlige forhold og sa</w:t>
      </w:r>
      <w:r>
        <w:rPr>
          <w:color w:val="000000"/>
        </w:rPr>
        <w:t>m</w:t>
      </w:r>
      <w:r>
        <w:rPr>
          <w:color w:val="000000"/>
        </w:rPr>
        <w:t xml:space="preserve">mensætning af </w:t>
      </w:r>
      <w:proofErr w:type="spellStart"/>
      <w:r>
        <w:rPr>
          <w:color w:val="000000"/>
        </w:rPr>
        <w:t>costdrivere</w:t>
      </w:r>
      <w:proofErr w:type="spellEnd"/>
      <w:r w:rsidR="00A46A3F">
        <w:rPr>
          <w:color w:val="000000"/>
        </w:rPr>
        <w:t>,</w:t>
      </w:r>
      <w:r>
        <w:rPr>
          <w:color w:val="000000"/>
        </w:rPr>
        <w:t xml:space="preserve"> jf. bilag </w:t>
      </w:r>
      <w:r w:rsidR="0019019C">
        <w:rPr>
          <w:color w:val="000000"/>
        </w:rPr>
        <w:t>1</w:t>
      </w:r>
      <w:r>
        <w:rPr>
          <w:color w:val="000000"/>
        </w:rPr>
        <w:t xml:space="preserve"> og </w:t>
      </w:r>
      <w:r w:rsidRPr="008F11DB" w:rsidR="008F11DB">
        <w:rPr>
          <w:color w:val="000000"/>
        </w:rPr>
        <w:t>2</w:t>
      </w:r>
      <w:r>
        <w:rPr>
          <w:color w:val="000000"/>
        </w:rPr>
        <w:t xml:space="preserve">. Såfremt selskabet har fået en sådan reduktion, </w:t>
      </w:r>
      <w:r w:rsidR="00A46A3F">
        <w:rPr>
          <w:color w:val="000000"/>
        </w:rPr>
        <w:t>fremgår det</w:t>
      </w:r>
      <w:r w:rsidR="00AA596B">
        <w:rPr>
          <w:color w:val="000000"/>
        </w:rPr>
        <w:t xml:space="preserve"> af</w:t>
      </w:r>
      <w:r>
        <w:rPr>
          <w:color w:val="000000"/>
        </w:rPr>
        <w:t xml:space="preserve"> bilag A</w:t>
      </w:r>
      <w:r w:rsidR="00060B7A">
        <w:rPr>
          <w:color w:val="000000"/>
        </w:rPr>
        <w:t>, fane 3</w:t>
      </w:r>
      <w:r>
        <w:rPr>
          <w:color w:val="000000"/>
        </w:rPr>
        <w:t xml:space="preserve">. </w:t>
      </w:r>
    </w:p>
    <w:p w:rsidR="005E17FB" w:rsidP="00760E95" w:rsidRDefault="005E17FB">
      <w:pPr>
        <w:jc w:val="both"/>
        <w:rPr>
          <w:color w:val="000000"/>
        </w:rPr>
      </w:pPr>
    </w:p>
    <w:p w:rsidR="005E17FB" w:rsidP="00760E95" w:rsidRDefault="005E17FB">
      <w:pPr>
        <w:jc w:val="both"/>
        <w:rPr>
          <w:color w:val="000000"/>
        </w:rPr>
      </w:pPr>
      <w:r>
        <w:rPr>
          <w:color w:val="000000"/>
        </w:rPr>
        <w:t>Det individuelle effektiviseringskrav er beregnet på baggrund af effekt</w:t>
      </w:r>
      <w:r>
        <w:rPr>
          <w:color w:val="000000"/>
        </w:rPr>
        <w:t>i</w:t>
      </w:r>
      <w:r>
        <w:rPr>
          <w:color w:val="000000"/>
        </w:rPr>
        <w:t xml:space="preserve">viseringspotentialet. </w:t>
      </w:r>
      <w:r w:rsidR="00D50DB9">
        <w:rPr>
          <w:color w:val="000000"/>
        </w:rPr>
        <w:t>O</w:t>
      </w:r>
      <w:r>
        <w:rPr>
          <w:color w:val="000000"/>
        </w:rPr>
        <w:t xml:space="preserve">pgørelsen af </w:t>
      </w:r>
      <w:r w:rsidR="000341A1">
        <w:rPr>
          <w:color w:val="000000"/>
        </w:rPr>
        <w:t>selskabets</w:t>
      </w:r>
      <w:r>
        <w:rPr>
          <w:color w:val="000000"/>
        </w:rPr>
        <w:t xml:space="preserve"> individuelle effektivis</w:t>
      </w:r>
      <w:r>
        <w:rPr>
          <w:color w:val="000000"/>
        </w:rPr>
        <w:t>e</w:t>
      </w:r>
      <w:r>
        <w:rPr>
          <w:color w:val="000000"/>
        </w:rPr>
        <w:t xml:space="preserve">ringskrav </w:t>
      </w:r>
      <w:r w:rsidR="00D50DB9">
        <w:rPr>
          <w:color w:val="000000"/>
        </w:rPr>
        <w:t xml:space="preserve">kan ses </w:t>
      </w:r>
      <w:r>
        <w:rPr>
          <w:color w:val="000000"/>
        </w:rPr>
        <w:t>i bilag A</w:t>
      </w:r>
      <w:r w:rsidR="004150AC">
        <w:rPr>
          <w:color w:val="000000"/>
        </w:rPr>
        <w:t>,</w:t>
      </w:r>
      <w:r w:rsidR="00060B7A">
        <w:rPr>
          <w:color w:val="000000"/>
        </w:rPr>
        <w:t xml:space="preserve"> fane 3</w:t>
      </w:r>
      <w:r>
        <w:rPr>
          <w:color w:val="000000"/>
        </w:rPr>
        <w:t xml:space="preserve">. </w:t>
      </w:r>
    </w:p>
    <w:p w:rsidR="00557CB7" w:rsidP="00760E95" w:rsidRDefault="00557CB7">
      <w:pPr>
        <w:jc w:val="both"/>
      </w:pPr>
    </w:p>
    <w:p w:rsidRPr="001F00F2" w:rsidR="00C175E9" w:rsidP="00760E95" w:rsidRDefault="00C175E9">
      <w:pPr>
        <w:jc w:val="both"/>
      </w:pPr>
    </w:p>
    <w:p w:rsidRPr="001F00F2" w:rsidR="0086293C" w:rsidP="00760E95" w:rsidRDefault="0086293C">
      <w:pPr>
        <w:pStyle w:val="Overskrift1"/>
        <w:jc w:val="both"/>
        <w:rPr>
          <w:sz w:val="28"/>
          <w:szCs w:val="28"/>
        </w:rPr>
      </w:pPr>
      <w:r w:rsidRPr="006E7BEB">
        <w:rPr>
          <w:sz w:val="28"/>
          <w:szCs w:val="28"/>
        </w:rPr>
        <w:t>Investeringer</w:t>
      </w:r>
    </w:p>
    <w:p w:rsidR="0086293C" w:rsidP="00760E95" w:rsidRDefault="0086293C">
      <w:pPr>
        <w:jc w:val="both"/>
      </w:pPr>
    </w:p>
    <w:p w:rsidRPr="001F00F2" w:rsidR="0086293C" w:rsidP="00760E95" w:rsidRDefault="0086293C">
      <w:pPr>
        <w:jc w:val="both"/>
        <w:rPr>
          <w:b/>
          <w:szCs w:val="24"/>
        </w:rPr>
      </w:pPr>
      <w:r w:rsidRPr="001F00F2">
        <w:rPr>
          <w:b/>
          <w:szCs w:val="24"/>
        </w:rPr>
        <w:t xml:space="preserve">Tillæg for historiske investeringer </w:t>
      </w:r>
    </w:p>
    <w:p w:rsidR="0086293C" w:rsidP="00760E95" w:rsidRDefault="0086293C">
      <w:pPr>
        <w:jc w:val="both"/>
      </w:pPr>
      <w:r>
        <w:t>Forsyningssekretariatet fastsætter tillæg for historiske investeringer på baggrund af værdiansættelsen i den reguleringsmæssige åbningsbalance pr. 1. januar 2010, som blev udarbejdet i forbindelse med fastsættelsen af prislofterne for 2011. Værdiansættelsen blev foretaget ud fra standardpr</w:t>
      </w:r>
      <w:r>
        <w:t>i</w:t>
      </w:r>
      <w:r>
        <w:t>ser og standardlevetider, som fremgår af pris- og levetidskataloget, jf. pri</w:t>
      </w:r>
      <w:r w:rsidR="00B45CDF">
        <w:t>sloftbekendtgørelsens bilag 1.</w:t>
      </w:r>
    </w:p>
    <w:p w:rsidR="0086293C" w:rsidP="00760E95" w:rsidRDefault="0086293C">
      <w:pPr>
        <w:jc w:val="both"/>
      </w:pPr>
    </w:p>
    <w:p w:rsidR="0086293C" w:rsidP="00760E95" w:rsidRDefault="001F41F5">
      <w:pPr>
        <w:jc w:val="both"/>
      </w:pPr>
      <w:r>
        <w:t xml:space="preserve">Ifølge </w:t>
      </w:r>
      <w:r w:rsidR="0086293C">
        <w:t>bekendtgørelsens § 12, stk. 2 og 4, udgøres tillægget for historiske investeringer af de årlige standardafskrivninger. I henhold til § 12, stk. 3, reguleres tillægget for historiske investeringer med standardafskrivni</w:t>
      </w:r>
      <w:r w:rsidR="0086293C">
        <w:t>n</w:t>
      </w:r>
      <w:r w:rsidR="0086293C">
        <w:t xml:space="preserve">ger, der bortfalder som følge af, at anlæg er færdigafskrevet. </w:t>
      </w:r>
    </w:p>
    <w:p w:rsidR="0086293C" w:rsidP="00760E95" w:rsidRDefault="0086293C">
      <w:pPr>
        <w:jc w:val="both"/>
      </w:pPr>
    </w:p>
    <w:p w:rsidR="0086293C" w:rsidP="00760E95" w:rsidRDefault="0086293C">
      <w:pPr>
        <w:jc w:val="both"/>
      </w:pPr>
      <w:r>
        <w:t>Forsyningssekretariatet har beregnet tillæg</w:t>
      </w:r>
      <w:r w:rsidR="00EB7F42">
        <w:t>get</w:t>
      </w:r>
      <w:r>
        <w:t xml:space="preserve"> for historiske investeri</w:t>
      </w:r>
      <w:r>
        <w:t>n</w:t>
      </w:r>
      <w:r>
        <w:t>ger, og dette fremgår af bilag A</w:t>
      </w:r>
      <w:r w:rsidR="000E4B61">
        <w:t xml:space="preserve">, fane </w:t>
      </w:r>
      <w:r w:rsidR="00060B7A">
        <w:t>4</w:t>
      </w:r>
      <w:r>
        <w:t>.</w:t>
      </w:r>
      <w:r w:rsidRPr="0037613E">
        <w:t xml:space="preserve"> </w:t>
      </w:r>
      <w:r>
        <w:t>Forsyningssekretariatet har lagt selskabets indsendte åbningsbalance, dokumentation samt eventuelle ændringer hertil til grund for beregningen.</w:t>
      </w:r>
    </w:p>
    <w:p w:rsidR="0086293C" w:rsidP="00760E95" w:rsidRDefault="0086293C">
      <w:pPr>
        <w:jc w:val="both"/>
        <w:rPr>
          <w:b/>
          <w:szCs w:val="24"/>
        </w:rPr>
      </w:pPr>
    </w:p>
    <w:p w:rsidRPr="001F00F2" w:rsidR="0086293C" w:rsidP="00760E95" w:rsidRDefault="0086293C">
      <w:pPr>
        <w:jc w:val="both"/>
        <w:rPr>
          <w:b/>
          <w:szCs w:val="24"/>
        </w:rPr>
      </w:pPr>
      <w:r w:rsidRPr="001F00F2">
        <w:rPr>
          <w:b/>
          <w:szCs w:val="24"/>
        </w:rPr>
        <w:t xml:space="preserve">Tillæg for gennemførte investeringer i </w:t>
      </w:r>
      <w:r w:rsidR="00F46805">
        <w:rPr>
          <w:b/>
          <w:szCs w:val="24"/>
        </w:rPr>
        <w:t xml:space="preserve">2010 - </w:t>
      </w:r>
      <w:r w:rsidRPr="001F00F2">
        <w:rPr>
          <w:b/>
          <w:szCs w:val="24"/>
        </w:rPr>
        <w:t>201</w:t>
      </w:r>
      <w:r>
        <w:rPr>
          <w:b/>
          <w:szCs w:val="24"/>
        </w:rPr>
        <w:t>3</w:t>
      </w:r>
      <w:r w:rsidRPr="001F00F2">
        <w:rPr>
          <w:b/>
          <w:szCs w:val="24"/>
        </w:rPr>
        <w:t xml:space="preserve"> </w:t>
      </w:r>
    </w:p>
    <w:p w:rsidR="0086293C" w:rsidP="00760E95" w:rsidRDefault="0086293C">
      <w:pPr>
        <w:autoSpaceDE w:val="0"/>
        <w:autoSpaceDN w:val="0"/>
        <w:adjustRightInd w:val="0"/>
        <w:jc w:val="both"/>
      </w:pPr>
      <w:r>
        <w:t>Forsyningssekretariatet fastsætter tillæg for de gennemførte investeri</w:t>
      </w:r>
      <w:r>
        <w:t>n</w:t>
      </w:r>
      <w:r w:rsidR="00AB05E0">
        <w:t>ger, der</w:t>
      </w:r>
      <w:r>
        <w:t xml:space="preserve"> er gennemført efter 1. januar 2010 og frem til og med året, som ligger to år</w:t>
      </w:r>
      <w:r w:rsidR="00AA596B">
        <w:t xml:space="preserve"> forud for prisloftåret, jf. bekendt</w:t>
      </w:r>
      <w:r>
        <w:t xml:space="preserve">gørelsens § 11, stk. 1 og 4. </w:t>
      </w:r>
    </w:p>
    <w:p w:rsidR="0086293C" w:rsidP="00760E95" w:rsidRDefault="0086293C">
      <w:pPr>
        <w:autoSpaceDE w:val="0"/>
        <w:autoSpaceDN w:val="0"/>
        <w:adjustRightInd w:val="0"/>
        <w:jc w:val="both"/>
      </w:pPr>
      <w:r>
        <w:lastRenderedPageBreak/>
        <w:t>Tillægget for de gennemførte investeringer udgør i henhold til § 11, stk. 2, de fremtidige årlige lineære afskrivninger af de gennemførte invest</w:t>
      </w:r>
      <w:r>
        <w:t>e</w:t>
      </w:r>
      <w:r>
        <w:t xml:space="preserve">ringer baseret på standardlevetider og reguleres med afskrivninger, der bortfalder som følge af, at et anlæg er færdigafskrevet. </w:t>
      </w:r>
    </w:p>
    <w:p w:rsidR="0086293C" w:rsidP="00760E95" w:rsidRDefault="0086293C">
      <w:pPr>
        <w:autoSpaceDE w:val="0"/>
        <w:autoSpaceDN w:val="0"/>
        <w:adjustRightInd w:val="0"/>
        <w:jc w:val="both"/>
      </w:pPr>
    </w:p>
    <w:p w:rsidR="0086293C" w:rsidP="00760E95" w:rsidRDefault="0086293C">
      <w:pPr>
        <w:autoSpaceDE w:val="0"/>
        <w:autoSpaceDN w:val="0"/>
        <w:adjustRightInd w:val="0"/>
        <w:jc w:val="both"/>
      </w:pPr>
      <w:r>
        <w:t>I bilag A</w:t>
      </w:r>
      <w:r w:rsidR="00060B7A">
        <w:t>, fane 5</w:t>
      </w:r>
      <w:r>
        <w:t xml:space="preserve"> </w:t>
      </w:r>
      <w:r w:rsidR="001F41F5">
        <w:t>findes</w:t>
      </w:r>
      <w:r>
        <w:t xml:space="preserve"> en oversigt over selskabets indberettede genne</w:t>
      </w:r>
      <w:r>
        <w:t>m</w:t>
      </w:r>
      <w:r>
        <w:t>førte investeringer i 2013.</w:t>
      </w:r>
    </w:p>
    <w:p w:rsidR="0086293C" w:rsidP="00760E95" w:rsidRDefault="0086293C">
      <w:pPr>
        <w:autoSpaceDE w:val="0"/>
        <w:autoSpaceDN w:val="0"/>
        <w:adjustRightInd w:val="0"/>
        <w:jc w:val="both"/>
      </w:pPr>
    </w:p>
    <w:p w:rsidR="0086293C" w:rsidP="00760E95" w:rsidRDefault="0086293C">
      <w:pPr>
        <w:autoSpaceDE w:val="0"/>
        <w:autoSpaceDN w:val="0"/>
        <w:adjustRightInd w:val="0"/>
        <w:jc w:val="both"/>
      </w:pPr>
      <w:r>
        <w:t>Forsyningssekretariatet har, på ba</w:t>
      </w:r>
      <w:r w:rsidR="00EB7F42">
        <w:t>ggrund</w:t>
      </w:r>
      <w:r>
        <w:t xml:space="preserve"> af selskabets indberettede inv</w:t>
      </w:r>
      <w:r>
        <w:t>e</w:t>
      </w:r>
      <w:r>
        <w:t xml:space="preserve">steringsregnskab for året </w:t>
      </w:r>
      <w:r w:rsidR="002834EC">
        <w:t>2013</w:t>
      </w:r>
      <w:r>
        <w:t xml:space="preserve"> samt den tilhørende underskrevne reviso</w:t>
      </w:r>
      <w:r>
        <w:t>r</w:t>
      </w:r>
      <w:r>
        <w:t xml:space="preserve">erklæring af </w:t>
      </w:r>
      <w:r w:rsidRPr="00EF5D1A" w:rsidR="00D052B8">
        <w:t>7. maj</w:t>
      </w:r>
      <w:r w:rsidRPr="00EF5D1A" w:rsidR="004C2433">
        <w:t xml:space="preserve"> 2014</w:t>
      </w:r>
      <w:r w:rsidRPr="00EF5D1A">
        <w:t>,</w:t>
      </w:r>
      <w:r>
        <w:t xml:space="preserve"> vurderet de indberettede gennemførte invest</w:t>
      </w:r>
      <w:r>
        <w:t>e</w:t>
      </w:r>
      <w:r>
        <w:t xml:space="preserve">ringer i 2013 som tillægsberettigede. </w:t>
      </w:r>
    </w:p>
    <w:p w:rsidR="0086293C" w:rsidP="00760E95" w:rsidRDefault="0086293C">
      <w:pPr>
        <w:autoSpaceDE w:val="0"/>
        <w:autoSpaceDN w:val="0"/>
        <w:adjustRightInd w:val="0"/>
        <w:jc w:val="both"/>
      </w:pPr>
    </w:p>
    <w:p w:rsidR="0086293C" w:rsidP="00760E95" w:rsidRDefault="00EB7F42">
      <w:pPr>
        <w:autoSpaceDE w:val="0"/>
        <w:autoSpaceDN w:val="0"/>
        <w:adjustRightInd w:val="0"/>
        <w:jc w:val="both"/>
      </w:pPr>
      <w:r>
        <w:t>Det</w:t>
      </w:r>
      <w:r w:rsidR="0086293C">
        <w:t xml:space="preserve"> samlede tillæg for gennemførte investeringer i 2010, 201</w:t>
      </w:r>
      <w:r w:rsidR="00432E3E">
        <w:t xml:space="preserve">1, 2012 og 2013 </w:t>
      </w:r>
      <w:r w:rsidR="00841B64">
        <w:t>fremgår af bilag A</w:t>
      </w:r>
      <w:r w:rsidR="00060B7A">
        <w:t>, fane 5</w:t>
      </w:r>
      <w:r w:rsidR="00841B64">
        <w:t xml:space="preserve">. Tillægget </w:t>
      </w:r>
      <w:r w:rsidR="00432E3E">
        <w:t>er</w:t>
      </w:r>
      <w:r w:rsidR="0086293C">
        <w:t xml:space="preserve"> basere</w:t>
      </w:r>
      <w:r w:rsidR="00A52B9A">
        <w:t>t på standardlevetider</w:t>
      </w:r>
      <w:r w:rsidR="0086293C">
        <w:t xml:space="preserve"> svarende til summen af de lineære standardafsk</w:t>
      </w:r>
      <w:r w:rsidR="00A52B9A">
        <w:t xml:space="preserve">rivninger i </w:t>
      </w:r>
      <w:r w:rsidR="008966E9">
        <w:t>de pågældende år.</w:t>
      </w:r>
    </w:p>
    <w:p w:rsidR="0086293C" w:rsidP="00760E95" w:rsidRDefault="0086293C">
      <w:pPr>
        <w:jc w:val="both"/>
        <w:rPr>
          <w:b/>
          <w:szCs w:val="24"/>
        </w:rPr>
      </w:pPr>
    </w:p>
    <w:p w:rsidRPr="001F00F2" w:rsidR="0086293C" w:rsidP="00760E95" w:rsidRDefault="0086293C">
      <w:pPr>
        <w:jc w:val="both"/>
        <w:rPr>
          <w:b/>
          <w:szCs w:val="24"/>
        </w:rPr>
      </w:pPr>
      <w:r w:rsidRPr="001F00F2">
        <w:rPr>
          <w:b/>
          <w:szCs w:val="24"/>
        </w:rPr>
        <w:t xml:space="preserve">Korrektion </w:t>
      </w:r>
      <w:r>
        <w:rPr>
          <w:b/>
          <w:szCs w:val="24"/>
        </w:rPr>
        <w:t>af tillæg for planlagte investeringer vedrørende 2013</w:t>
      </w:r>
    </w:p>
    <w:p w:rsidR="0086293C" w:rsidP="00760E95" w:rsidRDefault="00D50DB9">
      <w:pPr>
        <w:autoSpaceDE w:val="0"/>
        <w:autoSpaceDN w:val="0"/>
        <w:adjustRightInd w:val="0"/>
        <w:jc w:val="both"/>
      </w:pPr>
      <w:r>
        <w:t>Der</w:t>
      </w:r>
      <w:r w:rsidRPr="00965142" w:rsidR="0086293C">
        <w:t xml:space="preserve"> foretage</w:t>
      </w:r>
      <w:r>
        <w:t>s</w:t>
      </w:r>
      <w:r w:rsidRPr="00965142" w:rsidR="0086293C">
        <w:t xml:space="preserve"> årligt en engangsregulering for forskelle mellem tidligere indregnede forventede afskrivninger fra et selskabs investeringsplan og faktiske beløb fra selskabets investeringsregnskab for det år, der ligger to år forud for prisloftåret, jf. prisloftbekendtgørelsens § 5, stk. </w:t>
      </w:r>
      <w:r w:rsidR="0086293C">
        <w:t>2</w:t>
      </w:r>
      <w:r w:rsidRPr="00965142" w:rsidR="0086293C">
        <w:t xml:space="preserve">. </w:t>
      </w:r>
    </w:p>
    <w:p w:rsidR="0086293C" w:rsidP="00760E95" w:rsidRDefault="0086293C">
      <w:pPr>
        <w:autoSpaceDE w:val="0"/>
        <w:autoSpaceDN w:val="0"/>
        <w:adjustRightInd w:val="0"/>
        <w:jc w:val="both"/>
      </w:pPr>
    </w:p>
    <w:p w:rsidR="0086293C" w:rsidP="00760E95" w:rsidRDefault="0086293C">
      <w:pPr>
        <w:autoSpaceDE w:val="0"/>
        <w:autoSpaceDN w:val="0"/>
        <w:adjustRightInd w:val="0"/>
        <w:jc w:val="both"/>
      </w:pPr>
      <w:r>
        <w:t>Ved engangsreguleringen tages der højde for forskellen mellem de fakt</w:t>
      </w:r>
      <w:r>
        <w:t>i</w:t>
      </w:r>
      <w:r>
        <w:t>ske afskrivninger i 2013 og de tillæg for planlagte investeringer i 2013, som er givet i prisloftet for 2013 og i prisloftet for 2014.</w:t>
      </w:r>
    </w:p>
    <w:p w:rsidRPr="00965142" w:rsidR="0086293C" w:rsidP="00760E95" w:rsidRDefault="0086293C">
      <w:pPr>
        <w:autoSpaceDE w:val="0"/>
        <w:autoSpaceDN w:val="0"/>
        <w:adjustRightInd w:val="0"/>
        <w:jc w:val="both"/>
      </w:pPr>
    </w:p>
    <w:p w:rsidR="0086293C" w:rsidP="00760E95" w:rsidRDefault="00D50DB9">
      <w:pPr>
        <w:autoSpaceDE w:val="0"/>
        <w:autoSpaceDN w:val="0"/>
        <w:adjustRightInd w:val="0"/>
        <w:jc w:val="both"/>
      </w:pPr>
      <w:r>
        <w:t>K</w:t>
      </w:r>
      <w:r w:rsidRPr="00965142" w:rsidR="0086293C">
        <w:t>orrektionen i prislof</w:t>
      </w:r>
      <w:r w:rsidR="0086293C">
        <w:t>tet for 2015 fremgår af bilag A</w:t>
      </w:r>
      <w:r w:rsidR="008F1095">
        <w:t>, fane 6</w:t>
      </w:r>
      <w:r w:rsidR="0086293C">
        <w:t>.</w:t>
      </w:r>
    </w:p>
    <w:p w:rsidRPr="001F00F2" w:rsidR="00AA596B" w:rsidP="00760E95" w:rsidRDefault="00AA596B">
      <w:pPr>
        <w:jc w:val="both"/>
      </w:pPr>
    </w:p>
    <w:p w:rsidRPr="001F00F2" w:rsidR="001F00F2" w:rsidP="00760E95" w:rsidRDefault="00244B2A">
      <w:pPr>
        <w:jc w:val="both"/>
        <w:rPr>
          <w:b/>
          <w:szCs w:val="24"/>
        </w:rPr>
      </w:pPr>
      <w:r w:rsidRPr="001F00F2">
        <w:rPr>
          <w:b/>
          <w:szCs w:val="24"/>
        </w:rPr>
        <w:t>Tillæg fo</w:t>
      </w:r>
      <w:r w:rsidR="00236B32">
        <w:rPr>
          <w:b/>
          <w:szCs w:val="24"/>
        </w:rPr>
        <w:t xml:space="preserve">r planlagte investeringer i </w:t>
      </w:r>
      <w:r w:rsidR="00812B28">
        <w:rPr>
          <w:b/>
          <w:szCs w:val="24"/>
        </w:rPr>
        <w:t>201</w:t>
      </w:r>
      <w:r w:rsidR="008C6CC5">
        <w:rPr>
          <w:b/>
          <w:szCs w:val="24"/>
        </w:rPr>
        <w:t>4</w:t>
      </w:r>
      <w:r w:rsidRPr="001F00F2" w:rsidR="00812B28">
        <w:rPr>
          <w:b/>
          <w:szCs w:val="24"/>
        </w:rPr>
        <w:t xml:space="preserve"> </w:t>
      </w:r>
      <w:r w:rsidRPr="001F00F2">
        <w:rPr>
          <w:b/>
          <w:szCs w:val="24"/>
        </w:rPr>
        <w:t xml:space="preserve">og </w:t>
      </w:r>
      <w:r w:rsidRPr="001F00F2" w:rsidR="00812B28">
        <w:rPr>
          <w:b/>
          <w:szCs w:val="24"/>
        </w:rPr>
        <w:t>201</w:t>
      </w:r>
      <w:r w:rsidR="008C6CC5">
        <w:rPr>
          <w:b/>
          <w:szCs w:val="24"/>
        </w:rPr>
        <w:t>5</w:t>
      </w:r>
      <w:r w:rsidRPr="001F00F2" w:rsidR="00812B28">
        <w:rPr>
          <w:b/>
          <w:szCs w:val="24"/>
        </w:rPr>
        <w:t xml:space="preserve"> </w:t>
      </w:r>
    </w:p>
    <w:p w:rsidR="000A680C" w:rsidP="00760E95" w:rsidRDefault="000A680C">
      <w:pPr>
        <w:jc w:val="both"/>
      </w:pPr>
      <w:r>
        <w:t>Forsyningssekretariatet fastsætter tillæg</w:t>
      </w:r>
      <w:r w:rsidR="003860E1">
        <w:t xml:space="preserve"> for de planlagte investeringer</w:t>
      </w:r>
      <w:r>
        <w:t xml:space="preserve"> på baggrund af de oplysninger, som vandselskaberne har indberettet for prisloftåret og året forud for prisloftåret, jf. prisloftbekendtgørelsens § 10, stk. 1 og 3. Tillægget for de planlagte investeringer udgør i henhold til § 10, stk. 2, den budgetterede værdi af de fremtidige årlige lineære a</w:t>
      </w:r>
      <w:r>
        <w:t>f</w:t>
      </w:r>
      <w:r>
        <w:t xml:space="preserve">skrivninger af de planlagte investeringer baseret på standardlevetider. </w:t>
      </w:r>
      <w:r w:rsidR="00E82BEA">
        <w:t>S</w:t>
      </w:r>
      <w:r>
        <w:t>tandardlevetider</w:t>
      </w:r>
      <w:r w:rsidR="00E82BEA">
        <w:t>ne</w:t>
      </w:r>
      <w:r>
        <w:t xml:space="preserve"> er baseret på </w:t>
      </w:r>
      <w:r w:rsidR="00122752">
        <w:t>levetiderne</w:t>
      </w:r>
      <w:r>
        <w:t xml:space="preserve"> i pris- og levetidskataloget.</w:t>
      </w:r>
    </w:p>
    <w:p w:rsidR="000A680C" w:rsidP="00760E95" w:rsidRDefault="000A680C">
      <w:pPr>
        <w:jc w:val="both"/>
      </w:pPr>
    </w:p>
    <w:p w:rsidR="000A680C" w:rsidP="00760E95" w:rsidRDefault="000A680C">
      <w:pPr>
        <w:autoSpaceDE w:val="0"/>
        <w:autoSpaceDN w:val="0"/>
        <w:adjustRightInd w:val="0"/>
        <w:jc w:val="both"/>
      </w:pPr>
      <w:r>
        <w:t>Forsyningssekretariatet har vurderet de indberettede planlag</w:t>
      </w:r>
      <w:r w:rsidRPr="00427DE9">
        <w:t>te invest</w:t>
      </w:r>
      <w:r w:rsidRPr="00427DE9">
        <w:t>e</w:t>
      </w:r>
      <w:r w:rsidRPr="00427DE9">
        <w:t>ringer som tillægsberettigede. Som følge heraf modtager sel</w:t>
      </w:r>
      <w:r>
        <w:t>skabet et ti</w:t>
      </w:r>
      <w:r>
        <w:t>l</w:t>
      </w:r>
      <w:r>
        <w:t>l</w:t>
      </w:r>
      <w:r w:rsidR="00050998">
        <w:t>æg for planlagte investeringer</w:t>
      </w:r>
      <w:r>
        <w:t xml:space="preserve"> svarende til summen af standardafskri</w:t>
      </w:r>
      <w:r>
        <w:t>v</w:t>
      </w:r>
      <w:r>
        <w:t xml:space="preserve">ningerne i </w:t>
      </w:r>
      <w:r w:rsidR="009539A9">
        <w:t xml:space="preserve">2014 </w:t>
      </w:r>
      <w:r>
        <w:t xml:space="preserve">på de planlagte investeringer i årene </w:t>
      </w:r>
      <w:r w:rsidR="0051206C">
        <w:t>2014</w:t>
      </w:r>
      <w:r w:rsidR="009539A9">
        <w:t xml:space="preserve"> </w:t>
      </w:r>
      <w:r w:rsidR="00E82BEA">
        <w:t>og</w:t>
      </w:r>
      <w:r>
        <w:t xml:space="preserve"> </w:t>
      </w:r>
      <w:r w:rsidR="0051206C">
        <w:t>2015</w:t>
      </w:r>
      <w:r>
        <w:t>.</w:t>
      </w:r>
      <w:r w:rsidR="00050998">
        <w:t xml:space="preserve"> Oversigten over de planlagte investeringer samt tillægget i prisloftet for 2015 herfor fremgår af bilag A</w:t>
      </w:r>
      <w:r w:rsidR="000E4B61">
        <w:t>, fane</w:t>
      </w:r>
      <w:r w:rsidR="008F1095">
        <w:t xml:space="preserve"> 7</w:t>
      </w:r>
      <w:r w:rsidR="00050998">
        <w:t>.</w:t>
      </w:r>
    </w:p>
    <w:p w:rsidR="00063C85" w:rsidP="00760E95" w:rsidRDefault="00063C85">
      <w:pPr>
        <w:jc w:val="both"/>
      </w:pPr>
    </w:p>
    <w:p w:rsidR="00F524C2" w:rsidP="00760E95" w:rsidRDefault="00F524C2">
      <w:pPr>
        <w:jc w:val="both"/>
      </w:pPr>
    </w:p>
    <w:p w:rsidR="000B25E7" w:rsidP="00760E95" w:rsidRDefault="000B25E7">
      <w:pPr>
        <w:pStyle w:val="Overskrift1"/>
        <w:jc w:val="both"/>
        <w:rPr>
          <w:sz w:val="28"/>
          <w:szCs w:val="28"/>
        </w:rPr>
      </w:pPr>
    </w:p>
    <w:p w:rsidR="00244B2A" w:rsidP="00760E95" w:rsidRDefault="00753C65">
      <w:pPr>
        <w:pStyle w:val="Overskrift1"/>
        <w:jc w:val="both"/>
        <w:rPr>
          <w:sz w:val="28"/>
          <w:szCs w:val="28"/>
        </w:rPr>
      </w:pPr>
      <w:r>
        <w:rPr>
          <w:sz w:val="28"/>
          <w:szCs w:val="28"/>
        </w:rPr>
        <w:t>Øvrige omkostning</w:t>
      </w:r>
      <w:r w:rsidRPr="001F00F2" w:rsidR="00244B2A">
        <w:rPr>
          <w:sz w:val="28"/>
          <w:szCs w:val="28"/>
        </w:rPr>
        <w:t xml:space="preserve">er mv. </w:t>
      </w:r>
    </w:p>
    <w:p w:rsidRPr="001F00F2" w:rsidR="001F00F2" w:rsidP="00760E95" w:rsidRDefault="001F00F2">
      <w:pPr>
        <w:jc w:val="both"/>
      </w:pPr>
    </w:p>
    <w:p w:rsidR="0073621A" w:rsidP="00760E95" w:rsidRDefault="0073621A">
      <w:pPr>
        <w:jc w:val="both"/>
        <w:rPr>
          <w:b/>
          <w:szCs w:val="24"/>
        </w:rPr>
      </w:pPr>
      <w:r w:rsidRPr="00427DE9">
        <w:rPr>
          <w:b/>
          <w:szCs w:val="24"/>
        </w:rPr>
        <w:t>Tillæg for 1:1 omkostninger i 201</w:t>
      </w:r>
      <w:r w:rsidR="001F73F6">
        <w:rPr>
          <w:b/>
          <w:szCs w:val="24"/>
        </w:rPr>
        <w:t>5</w:t>
      </w:r>
      <w:r w:rsidRPr="00427DE9" w:rsidR="00427DE9">
        <w:rPr>
          <w:b/>
          <w:szCs w:val="24"/>
        </w:rPr>
        <w:t xml:space="preserve"> </w:t>
      </w:r>
    </w:p>
    <w:p w:rsidR="0073621A" w:rsidP="00760E95" w:rsidRDefault="0073621A">
      <w:pPr>
        <w:jc w:val="both"/>
      </w:pPr>
      <w:r>
        <w:t xml:space="preserve">Forsyningssekretariatet fastsætter tillæg for </w:t>
      </w:r>
      <w:r w:rsidR="00F524C2">
        <w:t xml:space="preserve">budgetterede </w:t>
      </w:r>
      <w:r>
        <w:t>1:1 omkostni</w:t>
      </w:r>
      <w:r>
        <w:t>n</w:t>
      </w:r>
      <w:r>
        <w:t xml:space="preserve">ger, jf. prisloftbekendtgørelsens § 5, stk. 1. </w:t>
      </w:r>
      <w:r w:rsidR="00056711">
        <w:t>1:1 omkostninger er i</w:t>
      </w:r>
      <w:r>
        <w:t>følge § 3, stk. 4, omkostninger, som har væsentlig betydning for selskabet, og som selskabet ikke selv har indflydelse på.</w:t>
      </w:r>
    </w:p>
    <w:p w:rsidR="0073621A" w:rsidP="00760E95" w:rsidRDefault="0073621A">
      <w:pPr>
        <w:jc w:val="both"/>
      </w:pPr>
    </w:p>
    <w:p w:rsidR="0073621A" w:rsidP="00760E95" w:rsidRDefault="0073621A">
      <w:pPr>
        <w:jc w:val="both"/>
      </w:pPr>
      <w:r>
        <w:t>Selskabet har indberettet følgende som 1:1 omkostninger:</w:t>
      </w:r>
    </w:p>
    <w:p w:rsidR="0073621A" w:rsidP="00760E95" w:rsidRDefault="0073621A">
      <w:pPr>
        <w:jc w:val="both"/>
      </w:pPr>
    </w:p>
    <w:p w:rsidRPr="00AF37A0" w:rsidR="00EF458B" w:rsidP="00760E95" w:rsidRDefault="00546E89">
      <w:pPr>
        <w:numPr>
          <w:ilvl w:val="0"/>
          <w:numId w:val="8"/>
        </w:numPr>
        <w:jc w:val="both"/>
        <w:rPr>
          <w:b/>
          <w:szCs w:val="24"/>
        </w:rPr>
      </w:pPr>
      <w:r>
        <w:t>Betali</w:t>
      </w:r>
      <w:r w:rsidR="004A15E7">
        <w:t>ng til Forsyningssekretariatet</w:t>
      </w:r>
      <w:r w:rsidR="00AF37A0">
        <w:t>: 33.000 kr.</w:t>
      </w:r>
    </w:p>
    <w:p w:rsidR="00AF37A0" w:rsidP="00AF37A0" w:rsidRDefault="00AF37A0">
      <w:pPr>
        <w:jc w:val="both"/>
      </w:pPr>
    </w:p>
    <w:p w:rsidR="00AF37A0" w:rsidP="00AF37A0" w:rsidRDefault="00AF37A0">
      <w:pPr>
        <w:jc w:val="both"/>
        <w:rPr>
          <w:szCs w:val="24"/>
        </w:rPr>
      </w:pPr>
      <w:r w:rsidRPr="001C1650">
        <w:rPr>
          <w:szCs w:val="24"/>
        </w:rPr>
        <w:t>Betalingen til Forsyningssekretariatet</w:t>
      </w:r>
      <w:r>
        <w:rPr>
          <w:szCs w:val="24"/>
        </w:rPr>
        <w:t xml:space="preserve"> </w:t>
      </w:r>
      <w:r w:rsidRPr="001C1650">
        <w:rPr>
          <w:szCs w:val="24"/>
        </w:rPr>
        <w:t>kan ifølge pri</w:t>
      </w:r>
      <w:r w:rsidRPr="00ED6A49">
        <w:rPr>
          <w:szCs w:val="24"/>
        </w:rPr>
        <w:t>sloftbekendtgørelsens § 3, stk. 4, godkendes som 1:1 omkostninger.</w:t>
      </w:r>
    </w:p>
    <w:p w:rsidR="0073621A" w:rsidP="00760E95" w:rsidRDefault="0073621A">
      <w:pPr>
        <w:jc w:val="both"/>
      </w:pPr>
    </w:p>
    <w:p w:rsidR="0073621A" w:rsidP="00760E95" w:rsidRDefault="0073621A">
      <w:pPr>
        <w:jc w:val="both"/>
      </w:pPr>
      <w:r>
        <w:t xml:space="preserve">Det samlede tillæg for 1:1 omkostninger </w:t>
      </w:r>
      <w:r w:rsidR="00753C65">
        <w:t>fremgår af bilag A</w:t>
      </w:r>
      <w:r w:rsidR="006271DE">
        <w:t xml:space="preserve">, fane </w:t>
      </w:r>
      <w:r w:rsidR="008F1095">
        <w:t>8</w:t>
      </w:r>
      <w:r w:rsidRPr="00986698" w:rsidR="006271DE">
        <w:t>.</w:t>
      </w:r>
    </w:p>
    <w:p w:rsidR="00986698" w:rsidP="00760E95" w:rsidRDefault="00986698">
      <w:pPr>
        <w:jc w:val="both"/>
      </w:pPr>
    </w:p>
    <w:p w:rsidRPr="003C143D" w:rsidR="00A835AE" w:rsidP="00760E95" w:rsidRDefault="00A835AE">
      <w:pPr>
        <w:jc w:val="both"/>
        <w:rPr>
          <w:b/>
          <w:szCs w:val="24"/>
        </w:rPr>
      </w:pPr>
      <w:r w:rsidRPr="003C143D">
        <w:rPr>
          <w:b/>
          <w:szCs w:val="24"/>
        </w:rPr>
        <w:t xml:space="preserve">Tillæg for </w:t>
      </w:r>
      <w:r w:rsidR="00F44152">
        <w:rPr>
          <w:b/>
          <w:szCs w:val="24"/>
        </w:rPr>
        <w:t>afgift for</w:t>
      </w:r>
      <w:r w:rsidRPr="003C143D">
        <w:rPr>
          <w:b/>
          <w:szCs w:val="24"/>
        </w:rPr>
        <w:t xml:space="preserve"> ledningsført vand</w:t>
      </w:r>
      <w:r w:rsidR="00F44152">
        <w:rPr>
          <w:b/>
          <w:szCs w:val="24"/>
        </w:rPr>
        <w:t xml:space="preserve"> i 2015</w:t>
      </w:r>
    </w:p>
    <w:p w:rsidR="00A835AE" w:rsidP="00760E95" w:rsidRDefault="00A835AE">
      <w:pPr>
        <w:jc w:val="both"/>
      </w:pPr>
      <w:r>
        <w:t>Afgiften for ledningsført vand er ligeledes</w:t>
      </w:r>
      <w:r w:rsidRPr="003C143D">
        <w:t xml:space="preserve"> </w:t>
      </w:r>
      <w:r>
        <w:t>en 1:1 omkostning</w:t>
      </w:r>
      <w:r w:rsidRPr="0084491B">
        <w:t xml:space="preserve"> </w:t>
      </w:r>
      <w:r>
        <w:t xml:space="preserve">i henhold til prisloftbekendtgørelsens § 3, stk. 4. Afgiften opkræves i henhold til reglerne herom i lovbekendtgørelse nr. 962 af 27. juni 2013. Den betales til statskassen og udgør </w:t>
      </w:r>
      <w:r w:rsidR="00A860FF">
        <w:t>6,53</w:t>
      </w:r>
      <w:r>
        <w:t xml:space="preserve"> kr. pr. m</w:t>
      </w:r>
      <w:r w:rsidRPr="00757BA6">
        <w:rPr>
          <w:vertAlign w:val="superscript"/>
        </w:rPr>
        <w:t>3</w:t>
      </w:r>
      <w:r>
        <w:t xml:space="preserve"> ledningsført vand i 2015 (inkl. et bidrag til drikkevandsbeskyttelse). </w:t>
      </w:r>
    </w:p>
    <w:p w:rsidR="00A835AE" w:rsidP="00760E95" w:rsidRDefault="00A835AE">
      <w:pPr>
        <w:jc w:val="both"/>
      </w:pPr>
    </w:p>
    <w:p w:rsidR="003439F1" w:rsidP="003439F1" w:rsidRDefault="003439F1">
      <w:pPr>
        <w:jc w:val="both"/>
      </w:pPr>
      <w:r>
        <w:t>Selskabet har ikke indberettet den budgetterede udgift hertil. Forsyning</w:t>
      </w:r>
      <w:r>
        <w:t>s</w:t>
      </w:r>
      <w:r>
        <w:t>sekretariatet har derfor medtaget et beløb herfor svarende til den indb</w:t>
      </w:r>
      <w:r>
        <w:t>e</w:t>
      </w:r>
      <w:r>
        <w:t>rettede afgift af ledningsført vand i reguleringsregnskabet for 2013.</w:t>
      </w:r>
    </w:p>
    <w:p w:rsidR="00AF37A0" w:rsidP="00760E95" w:rsidRDefault="00AF37A0">
      <w:pPr>
        <w:jc w:val="both"/>
      </w:pPr>
    </w:p>
    <w:p w:rsidRPr="00986698" w:rsidR="00A835AE" w:rsidP="00760E95" w:rsidRDefault="00A835AE">
      <w:pPr>
        <w:jc w:val="both"/>
      </w:pPr>
      <w:r>
        <w:rPr>
          <w:szCs w:val="24"/>
        </w:rPr>
        <w:t>Tillægget for a</w:t>
      </w:r>
      <w:r w:rsidRPr="00986698">
        <w:rPr>
          <w:szCs w:val="24"/>
        </w:rPr>
        <w:t>fgiften for ledningsført vand</w:t>
      </w:r>
      <w:r w:rsidRPr="00986698">
        <w:t xml:space="preserve"> fremgår af bilag A</w:t>
      </w:r>
      <w:r w:rsidR="006271DE">
        <w:t>, fane</w:t>
      </w:r>
      <w:r w:rsidR="008F1095">
        <w:t xml:space="preserve"> 8</w:t>
      </w:r>
      <w:r w:rsidRPr="00986698">
        <w:t>.</w:t>
      </w:r>
    </w:p>
    <w:p w:rsidR="00E80B05" w:rsidP="00760E95" w:rsidRDefault="00E80B05">
      <w:pPr>
        <w:jc w:val="both"/>
        <w:rPr>
          <w:b/>
          <w:szCs w:val="24"/>
        </w:rPr>
      </w:pPr>
    </w:p>
    <w:p w:rsidR="0073621A" w:rsidP="00760E95" w:rsidRDefault="0073621A">
      <w:pPr>
        <w:jc w:val="both"/>
        <w:rPr>
          <w:b/>
          <w:szCs w:val="24"/>
        </w:rPr>
      </w:pPr>
      <w:r w:rsidRPr="00075DCF">
        <w:rPr>
          <w:b/>
          <w:szCs w:val="24"/>
        </w:rPr>
        <w:t>T</w:t>
      </w:r>
      <w:r>
        <w:rPr>
          <w:b/>
          <w:szCs w:val="24"/>
        </w:rPr>
        <w:t xml:space="preserve">illæg for nødvendige </w:t>
      </w:r>
      <w:r w:rsidR="006F3BA0">
        <w:rPr>
          <w:b/>
          <w:szCs w:val="24"/>
        </w:rPr>
        <w:t>udgifter til revisorerklæringer</w:t>
      </w:r>
      <w:r>
        <w:rPr>
          <w:b/>
          <w:szCs w:val="24"/>
        </w:rPr>
        <w:t xml:space="preserve"> samt ordinært medlemskab af DANVA og FVD</w:t>
      </w:r>
      <w:r w:rsidR="00046A14">
        <w:rPr>
          <w:b/>
          <w:szCs w:val="24"/>
        </w:rPr>
        <w:t xml:space="preserve"> i 2015</w:t>
      </w:r>
    </w:p>
    <w:p w:rsidR="0073621A" w:rsidP="00760E95" w:rsidRDefault="0027417A">
      <w:pPr>
        <w:jc w:val="both"/>
      </w:pPr>
      <w:r>
        <w:t>Selskaberne</w:t>
      </w:r>
      <w:r w:rsidR="0073621A">
        <w:t xml:space="preserve"> kan få indregnet nødvendige udgifter til revisorerklæringer ved indberetning t</w:t>
      </w:r>
      <w:r w:rsidR="006F3BA0">
        <w:t>il Forsyningssekretariatet</w:t>
      </w:r>
      <w:r w:rsidR="0073621A">
        <w:t xml:space="preserve"> samt betalinger for ordinært medlemskab i DANVA og FVD, på samme måde som 1:1 omkostninger, jf. prisloftbekendtgørelsens § 3, stk. 4, sidste pkt. </w:t>
      </w:r>
    </w:p>
    <w:p w:rsidR="00932FF0" w:rsidP="00760E95" w:rsidRDefault="00932FF0">
      <w:pPr>
        <w:jc w:val="both"/>
      </w:pPr>
    </w:p>
    <w:p w:rsidR="0073621A" w:rsidP="00760E95" w:rsidRDefault="0073621A">
      <w:pPr>
        <w:jc w:val="both"/>
      </w:pPr>
      <w:r>
        <w:t>Selskabet har indberettet følgende omkostninger:</w:t>
      </w:r>
    </w:p>
    <w:p w:rsidR="0073621A" w:rsidP="00760E95" w:rsidRDefault="0073621A">
      <w:pPr>
        <w:jc w:val="both"/>
      </w:pPr>
    </w:p>
    <w:p w:rsidR="0073621A" w:rsidP="00760E95" w:rsidRDefault="0073621A">
      <w:pPr>
        <w:numPr>
          <w:ilvl w:val="0"/>
          <w:numId w:val="7"/>
        </w:numPr>
        <w:jc w:val="both"/>
      </w:pPr>
      <w:r>
        <w:t>Betaling for o</w:t>
      </w:r>
      <w:r w:rsidR="00EF72F0">
        <w:t>rdinært medlemskab af FVD/DANVA</w:t>
      </w:r>
      <w:r w:rsidR="003439F1">
        <w:t>: 15.500 kr.</w:t>
      </w:r>
    </w:p>
    <w:p w:rsidR="0073621A" w:rsidP="00760E95" w:rsidRDefault="0073621A">
      <w:pPr>
        <w:jc w:val="both"/>
      </w:pPr>
    </w:p>
    <w:p w:rsidR="0073621A" w:rsidP="00760E95" w:rsidRDefault="0073621A">
      <w:pPr>
        <w:jc w:val="both"/>
      </w:pPr>
      <w:r>
        <w:t xml:space="preserve">Det samlede tillæg for disse omkostninger </w:t>
      </w:r>
      <w:r w:rsidR="00BA14A9">
        <w:t>fremgår af bilag A</w:t>
      </w:r>
      <w:r w:rsidR="003E5AE1">
        <w:t xml:space="preserve">, fane </w:t>
      </w:r>
      <w:r w:rsidR="008F1095">
        <w:t>8</w:t>
      </w:r>
      <w:r w:rsidR="00BA14A9">
        <w:t xml:space="preserve">. </w:t>
      </w:r>
    </w:p>
    <w:p w:rsidR="00B22F34" w:rsidP="00760E95" w:rsidRDefault="00B22F34">
      <w:pPr>
        <w:jc w:val="both"/>
        <w:rPr>
          <w:szCs w:val="24"/>
        </w:rPr>
      </w:pPr>
    </w:p>
    <w:p w:rsidRPr="001F00F2" w:rsidR="0073621A" w:rsidP="00760E95" w:rsidRDefault="0073621A">
      <w:pPr>
        <w:jc w:val="both"/>
        <w:rPr>
          <w:b/>
          <w:szCs w:val="24"/>
        </w:rPr>
      </w:pPr>
      <w:r>
        <w:rPr>
          <w:b/>
          <w:szCs w:val="24"/>
        </w:rPr>
        <w:t xml:space="preserve">Korrektion ift. faktiske </w:t>
      </w:r>
      <w:r w:rsidRPr="001F00F2">
        <w:rPr>
          <w:b/>
          <w:szCs w:val="24"/>
        </w:rPr>
        <w:t>1:1 omkostninger</w:t>
      </w:r>
      <w:r w:rsidR="00BF427D">
        <w:rPr>
          <w:b/>
          <w:szCs w:val="24"/>
        </w:rPr>
        <w:t xml:space="preserve"> i 2013</w:t>
      </w:r>
      <w:r w:rsidRPr="001F00F2">
        <w:rPr>
          <w:b/>
          <w:szCs w:val="24"/>
        </w:rPr>
        <w:t xml:space="preserve"> </w:t>
      </w:r>
    </w:p>
    <w:p w:rsidRPr="00965142" w:rsidR="00D15FC4" w:rsidP="00760E95" w:rsidRDefault="00EB7F42">
      <w:pPr>
        <w:autoSpaceDE w:val="0"/>
        <w:autoSpaceDN w:val="0"/>
        <w:adjustRightInd w:val="0"/>
        <w:jc w:val="both"/>
      </w:pPr>
      <w:r>
        <w:t>Der</w:t>
      </w:r>
      <w:r w:rsidRPr="007C550A" w:rsidR="00D15FC4">
        <w:t xml:space="preserve"> foretage</w:t>
      </w:r>
      <w:r>
        <w:t>s</w:t>
      </w:r>
      <w:r w:rsidRPr="007C550A" w:rsidR="00D15FC4">
        <w:t xml:space="preserve"> årligt en engangsregulering for forskelle mellem tidligere indregnede budgetterede 1:1 omkostninger</w:t>
      </w:r>
      <w:r w:rsidR="00D15FC4">
        <w:t>, t</w:t>
      </w:r>
      <w:r w:rsidRPr="007355BD" w:rsidR="00D15FC4">
        <w:t>illæg for nødvendige udgi</w:t>
      </w:r>
      <w:r w:rsidRPr="007355BD" w:rsidR="00D15FC4">
        <w:t>f</w:t>
      </w:r>
      <w:r w:rsidRPr="007355BD" w:rsidR="00D15FC4">
        <w:t>ter til revisorerklæringer samt ordinært medlemskab af DANVA og FVD</w:t>
      </w:r>
      <w:r w:rsidR="00D15FC4">
        <w:t xml:space="preserve"> </w:t>
      </w:r>
      <w:r w:rsidRPr="007C550A" w:rsidR="00D15FC4">
        <w:t xml:space="preserve">og faktiske beløb i henhold til reguleringsregnskabet for prisloftsåret for </w:t>
      </w:r>
      <w:r w:rsidRPr="007C550A" w:rsidR="00D15FC4">
        <w:lastRenderedPageBreak/>
        <w:t>det år, der ligger to år forud for prisloftåret, jf. prisloftbekendtgørelsens § 5, stk. 2.</w:t>
      </w:r>
      <w:r w:rsidRPr="00965142" w:rsidR="00D15FC4">
        <w:t xml:space="preserve"> </w:t>
      </w:r>
    </w:p>
    <w:p w:rsidRPr="00965142" w:rsidR="00D15FC4" w:rsidP="00760E95" w:rsidRDefault="00D15FC4">
      <w:pPr>
        <w:tabs>
          <w:tab w:val="left" w:pos="2467"/>
        </w:tabs>
        <w:autoSpaceDE w:val="0"/>
        <w:autoSpaceDN w:val="0"/>
        <w:adjustRightInd w:val="0"/>
        <w:jc w:val="both"/>
      </w:pPr>
      <w:r>
        <w:tab/>
      </w:r>
    </w:p>
    <w:p w:rsidR="00D15FC4" w:rsidP="00760E95" w:rsidRDefault="00D15FC4">
      <w:pPr>
        <w:autoSpaceDE w:val="0"/>
        <w:autoSpaceDN w:val="0"/>
        <w:adjustRightInd w:val="0"/>
        <w:jc w:val="both"/>
      </w:pPr>
      <w:r w:rsidRPr="00965142">
        <w:t>Det vil sige, at de</w:t>
      </w:r>
      <w:r>
        <w:t>r i prisloftet for 2015</w:t>
      </w:r>
      <w:r w:rsidRPr="00965142">
        <w:t xml:space="preserve"> foretages en korrektion for fo</w:t>
      </w:r>
      <w:r w:rsidRPr="00965142">
        <w:t>r</w:t>
      </w:r>
      <w:r w:rsidRPr="00965142">
        <w:t xml:space="preserve">skellen mellem selskabets faktiske </w:t>
      </w:r>
      <w:r>
        <w:t>1:1 omkost</w:t>
      </w:r>
      <w:r w:rsidRPr="00965142">
        <w:t>ninger i 201</w:t>
      </w:r>
      <w:r>
        <w:t>3</w:t>
      </w:r>
      <w:r w:rsidRPr="00965142">
        <w:t>, som fre</w:t>
      </w:r>
      <w:r w:rsidRPr="00965142">
        <w:t>m</w:t>
      </w:r>
      <w:r w:rsidRPr="00965142">
        <w:t xml:space="preserve">går af selskabets </w:t>
      </w:r>
      <w:r>
        <w:t>regulerings</w:t>
      </w:r>
      <w:r w:rsidRPr="00965142">
        <w:t>regnskab for 201</w:t>
      </w:r>
      <w:r>
        <w:t xml:space="preserve">3 og </w:t>
      </w:r>
      <w:r w:rsidRPr="00965142">
        <w:t xml:space="preserve">selskabets </w:t>
      </w:r>
      <w:r>
        <w:t xml:space="preserve">godkendte tillæg for </w:t>
      </w:r>
      <w:r w:rsidRPr="00965142">
        <w:t xml:space="preserve">budgetterede </w:t>
      </w:r>
      <w:r>
        <w:t>1:1 omkost</w:t>
      </w:r>
      <w:r w:rsidRPr="00965142">
        <w:t xml:space="preserve">ninger </w:t>
      </w:r>
      <w:r>
        <w:t xml:space="preserve">i </w:t>
      </w:r>
      <w:r w:rsidR="00AB05E0">
        <w:t xml:space="preserve">prisloftet for </w:t>
      </w:r>
      <w:r>
        <w:t>2013</w:t>
      </w:r>
      <w:r w:rsidRPr="00965142">
        <w:t xml:space="preserve">. </w:t>
      </w:r>
    </w:p>
    <w:p w:rsidR="00D15FC4" w:rsidP="00760E95" w:rsidRDefault="00D15FC4">
      <w:pPr>
        <w:autoSpaceDE w:val="0"/>
        <w:autoSpaceDN w:val="0"/>
        <w:adjustRightInd w:val="0"/>
        <w:jc w:val="both"/>
      </w:pPr>
    </w:p>
    <w:p w:rsidR="004C27A6" w:rsidP="004C27A6" w:rsidRDefault="004C27A6">
      <w:pPr>
        <w:autoSpaceDE w:val="0"/>
        <w:autoSpaceDN w:val="0"/>
        <w:adjustRightInd w:val="0"/>
        <w:jc w:val="both"/>
      </w:pPr>
      <w:r>
        <w:t>Selskabet har ikke indsendt fyldestgørende reguleringsregnskab for 2013. Forsyningssekretariatet har derfor ud af de foreliggende oplysni</w:t>
      </w:r>
      <w:r>
        <w:t>n</w:t>
      </w:r>
      <w:r>
        <w:t xml:space="preserve">ger skønnet de faktiske 1:1 omkostninger i 2013 til at udgøre </w:t>
      </w:r>
      <w:r w:rsidRPr="004C27A6">
        <w:t>1.517.171</w:t>
      </w:r>
      <w:r>
        <w:t xml:space="preserve"> kr. (betaling til Forsyningssekretariatet 32.269 kr. + afgift af ledningsført vand </w:t>
      </w:r>
      <w:r w:rsidRPr="004C27A6">
        <w:t xml:space="preserve">1.469.415 </w:t>
      </w:r>
      <w:r>
        <w:t>kr. + kontingent til FVD 15.427 kr</w:t>
      </w:r>
      <w:r w:rsidR="00DE4BB9">
        <w:t>.</w:t>
      </w:r>
      <w:r w:rsidR="00F61606">
        <w:t>).</w:t>
      </w:r>
    </w:p>
    <w:p w:rsidR="004C27A6" w:rsidP="00760E95" w:rsidRDefault="004C27A6">
      <w:pPr>
        <w:autoSpaceDE w:val="0"/>
        <w:autoSpaceDN w:val="0"/>
        <w:adjustRightInd w:val="0"/>
        <w:jc w:val="both"/>
      </w:pPr>
    </w:p>
    <w:p w:rsidR="00760E95" w:rsidP="00760E95" w:rsidRDefault="00760E95">
      <w:pPr>
        <w:autoSpaceDE w:val="0"/>
        <w:autoSpaceDN w:val="0"/>
        <w:adjustRightInd w:val="0"/>
        <w:jc w:val="both"/>
      </w:pPr>
      <w:r>
        <w:t>K</w:t>
      </w:r>
      <w:r w:rsidRPr="00965142">
        <w:t>orrektionen i prislof</w:t>
      </w:r>
      <w:r>
        <w:t>tet for 2015 fremgår af bilag A</w:t>
      </w:r>
      <w:r w:rsidR="003E5AE1">
        <w:t xml:space="preserve">, fane </w:t>
      </w:r>
      <w:r w:rsidR="008F1095">
        <w:t>8</w:t>
      </w:r>
      <w:r>
        <w:t>.</w:t>
      </w:r>
    </w:p>
    <w:p w:rsidR="0059249B" w:rsidP="00760E95" w:rsidRDefault="0059249B">
      <w:pPr>
        <w:jc w:val="both"/>
        <w:rPr>
          <w:b/>
          <w:szCs w:val="24"/>
        </w:rPr>
      </w:pPr>
    </w:p>
    <w:p w:rsidRPr="001F00F2" w:rsidR="0073621A" w:rsidP="00760E95" w:rsidRDefault="0073621A">
      <w:pPr>
        <w:jc w:val="both"/>
        <w:rPr>
          <w:b/>
          <w:szCs w:val="24"/>
        </w:rPr>
      </w:pPr>
      <w:r w:rsidRPr="00427DE9">
        <w:rPr>
          <w:b/>
          <w:szCs w:val="24"/>
        </w:rPr>
        <w:t>Tillæg for driftsomkostninger til miljø- og servicemål i 201</w:t>
      </w:r>
      <w:r w:rsidR="00236511">
        <w:rPr>
          <w:b/>
          <w:szCs w:val="24"/>
        </w:rPr>
        <w:t>5</w:t>
      </w:r>
      <w:r w:rsidRPr="00427DE9" w:rsidR="00336D3A">
        <w:rPr>
          <w:b/>
          <w:szCs w:val="24"/>
        </w:rPr>
        <w:t xml:space="preserve"> </w:t>
      </w:r>
    </w:p>
    <w:p w:rsidR="00520022" w:rsidP="00520022" w:rsidRDefault="00520022">
      <w:pPr>
        <w:spacing w:line="240" w:lineRule="auto"/>
        <w:jc w:val="both"/>
        <w:rPr>
          <w:szCs w:val="24"/>
        </w:rPr>
      </w:pPr>
      <w:r w:rsidRPr="00E77361">
        <w:rPr>
          <w:szCs w:val="24"/>
        </w:rPr>
        <w:t xml:space="preserve">Forsyningssekretariatet fastsætter tillæg for driftsomkostninger til miljø- og servicemål på baggrund af de budgettal og den dokumentation, som vandselskaberne indberetter. </w:t>
      </w:r>
    </w:p>
    <w:p w:rsidRPr="00E77361" w:rsidR="00520022" w:rsidP="00520022" w:rsidRDefault="00520022">
      <w:pPr>
        <w:spacing w:line="240" w:lineRule="auto"/>
        <w:jc w:val="both"/>
        <w:rPr>
          <w:szCs w:val="24"/>
        </w:rPr>
      </w:pPr>
    </w:p>
    <w:p w:rsidR="0073621A" w:rsidP="00520022" w:rsidRDefault="00520022">
      <w:pPr>
        <w:jc w:val="both"/>
        <w:rPr>
          <w:highlight w:val="blue"/>
        </w:rPr>
      </w:pPr>
      <w:r w:rsidRPr="00E77361">
        <w:rPr>
          <w:szCs w:val="24"/>
        </w:rPr>
        <w:t>Selskabet har ikke indberettet driftsomkostninger til miljø- og servicemål i 2015. Forsyningssekretariatet har derfor ikke givet tillæg til prisloftet herfor</w:t>
      </w:r>
      <w:r>
        <w:rPr>
          <w:szCs w:val="24"/>
        </w:rPr>
        <w:t>.</w:t>
      </w:r>
    </w:p>
    <w:p w:rsidR="0073621A" w:rsidP="00760E95" w:rsidRDefault="0073621A">
      <w:pPr>
        <w:jc w:val="both"/>
        <w:rPr>
          <w:b/>
          <w:szCs w:val="24"/>
        </w:rPr>
      </w:pPr>
    </w:p>
    <w:p w:rsidR="00D327DA" w:rsidP="00760E95" w:rsidRDefault="00D327DA">
      <w:pPr>
        <w:jc w:val="both"/>
        <w:rPr>
          <w:b/>
          <w:szCs w:val="24"/>
        </w:rPr>
      </w:pPr>
      <w:r>
        <w:rPr>
          <w:b/>
          <w:szCs w:val="24"/>
        </w:rPr>
        <w:t xml:space="preserve">Korrektion i forhold til faktiske </w:t>
      </w:r>
      <w:r w:rsidRPr="001F00F2">
        <w:rPr>
          <w:b/>
          <w:szCs w:val="24"/>
        </w:rPr>
        <w:t>driftsomk</w:t>
      </w:r>
      <w:r>
        <w:rPr>
          <w:b/>
          <w:szCs w:val="24"/>
        </w:rPr>
        <w:t xml:space="preserve">ostninger </w:t>
      </w:r>
      <w:r w:rsidRPr="001F00F2">
        <w:rPr>
          <w:b/>
          <w:szCs w:val="24"/>
        </w:rPr>
        <w:t>til miljø- og se</w:t>
      </w:r>
      <w:r w:rsidRPr="001F00F2">
        <w:rPr>
          <w:b/>
          <w:szCs w:val="24"/>
        </w:rPr>
        <w:t>r</w:t>
      </w:r>
      <w:r w:rsidRPr="001F00F2">
        <w:rPr>
          <w:b/>
          <w:szCs w:val="24"/>
        </w:rPr>
        <w:t xml:space="preserve">vicemål </w:t>
      </w:r>
      <w:r>
        <w:rPr>
          <w:b/>
          <w:szCs w:val="24"/>
        </w:rPr>
        <w:t>i 201</w:t>
      </w:r>
      <w:r w:rsidR="004D3BD7">
        <w:rPr>
          <w:b/>
          <w:szCs w:val="24"/>
        </w:rPr>
        <w:t>3</w:t>
      </w:r>
    </w:p>
    <w:p w:rsidRPr="00965142" w:rsidR="00D327DA" w:rsidP="00760E95" w:rsidRDefault="00DD66CD">
      <w:pPr>
        <w:autoSpaceDE w:val="0"/>
        <w:autoSpaceDN w:val="0"/>
        <w:adjustRightInd w:val="0"/>
        <w:jc w:val="both"/>
      </w:pPr>
      <w:r>
        <w:t xml:space="preserve">Der foretages </w:t>
      </w:r>
      <w:r w:rsidRPr="00965142" w:rsidR="00D327DA">
        <w:t xml:space="preserve">årligt en engangsregulering for forskelle mellem tidligere indregnede </w:t>
      </w:r>
      <w:r w:rsidR="00FA5613">
        <w:t>budgetterede</w:t>
      </w:r>
      <w:r w:rsidRPr="00965142" w:rsidR="00D327DA">
        <w:t xml:space="preserve"> </w:t>
      </w:r>
      <w:r w:rsidRPr="00BF3F38" w:rsidR="00D327DA">
        <w:t xml:space="preserve">driftsomkostninger til miljø- og servicemål </w:t>
      </w:r>
      <w:r w:rsidRPr="00965142" w:rsidR="00D327DA">
        <w:t xml:space="preserve">og faktiske beløb </w:t>
      </w:r>
      <w:r w:rsidRPr="00703DB0" w:rsidR="00D327DA">
        <w:t xml:space="preserve">i henhold til reguleringsregnskabet for prisloftsåret </w:t>
      </w:r>
      <w:r w:rsidRPr="00965142" w:rsidR="00D327DA">
        <w:t>for det år, der ligger to år forud for prisloftåret, jf. prisloftbekendtgørel</w:t>
      </w:r>
      <w:r w:rsidR="00B32BE3">
        <w:t>sens § 5, stk. 2</w:t>
      </w:r>
      <w:r w:rsidRPr="00965142" w:rsidR="00D327DA">
        <w:t xml:space="preserve">. </w:t>
      </w:r>
    </w:p>
    <w:p w:rsidR="00D327DA" w:rsidP="00760E95" w:rsidRDefault="00D327DA">
      <w:pPr>
        <w:jc w:val="both"/>
        <w:rPr>
          <w:szCs w:val="24"/>
        </w:rPr>
      </w:pPr>
    </w:p>
    <w:p w:rsidRPr="005363D2" w:rsidR="00D327DA" w:rsidP="00760E95" w:rsidRDefault="00D327DA">
      <w:pPr>
        <w:jc w:val="both"/>
        <w:rPr>
          <w:szCs w:val="24"/>
        </w:rPr>
      </w:pPr>
      <w:r w:rsidRPr="005363D2">
        <w:rPr>
          <w:szCs w:val="24"/>
        </w:rPr>
        <w:t>I selskabets prisloft for 201</w:t>
      </w:r>
      <w:r w:rsidR="00235D7F">
        <w:rPr>
          <w:szCs w:val="24"/>
        </w:rPr>
        <w:t>3</w:t>
      </w:r>
      <w:r w:rsidR="00087E5A">
        <w:rPr>
          <w:szCs w:val="24"/>
        </w:rPr>
        <w:t xml:space="preserve"> er der ikke givet</w:t>
      </w:r>
      <w:r w:rsidRPr="005363D2">
        <w:rPr>
          <w:szCs w:val="24"/>
        </w:rPr>
        <w:t xml:space="preserve"> tillæg for driftsomkostni</w:t>
      </w:r>
      <w:r w:rsidRPr="005363D2">
        <w:rPr>
          <w:szCs w:val="24"/>
        </w:rPr>
        <w:t>n</w:t>
      </w:r>
      <w:r w:rsidRPr="005363D2">
        <w:rPr>
          <w:szCs w:val="24"/>
        </w:rPr>
        <w:t>ger til miljø- og servicemål.</w:t>
      </w:r>
      <w:r w:rsidR="00235D7F">
        <w:rPr>
          <w:szCs w:val="24"/>
        </w:rPr>
        <w:t xml:space="preserve"> </w:t>
      </w:r>
      <w:r w:rsidRPr="005363D2">
        <w:rPr>
          <w:szCs w:val="24"/>
        </w:rPr>
        <w:t xml:space="preserve">Der </w:t>
      </w:r>
      <w:r w:rsidR="00395433">
        <w:rPr>
          <w:szCs w:val="24"/>
        </w:rPr>
        <w:t xml:space="preserve">foretages derfor </w:t>
      </w:r>
      <w:r w:rsidRPr="005363D2">
        <w:rPr>
          <w:szCs w:val="24"/>
        </w:rPr>
        <w:t xml:space="preserve">ikke </w:t>
      </w:r>
      <w:r w:rsidR="00395433">
        <w:rPr>
          <w:szCs w:val="24"/>
        </w:rPr>
        <w:t>nog</w:t>
      </w:r>
      <w:r w:rsidRPr="005363D2">
        <w:rPr>
          <w:szCs w:val="24"/>
        </w:rPr>
        <w:t>en korrektion for forskelle me</w:t>
      </w:r>
      <w:r w:rsidR="00EC2130">
        <w:rPr>
          <w:szCs w:val="24"/>
        </w:rPr>
        <w:t>llem</w:t>
      </w:r>
      <w:r w:rsidRPr="005363D2">
        <w:rPr>
          <w:szCs w:val="24"/>
        </w:rPr>
        <w:t xml:space="preserve"> faktiske</w:t>
      </w:r>
      <w:r w:rsidR="00B74775">
        <w:rPr>
          <w:szCs w:val="24"/>
        </w:rPr>
        <w:t xml:space="preserve"> og</w:t>
      </w:r>
      <w:r w:rsidRPr="005363D2">
        <w:rPr>
          <w:szCs w:val="24"/>
        </w:rPr>
        <w:t xml:space="preserve"> </w:t>
      </w:r>
      <w:r w:rsidRPr="005363D2" w:rsidR="00B74775">
        <w:rPr>
          <w:szCs w:val="24"/>
        </w:rPr>
        <w:t xml:space="preserve">budgetterede </w:t>
      </w:r>
      <w:r w:rsidRPr="005363D2">
        <w:rPr>
          <w:szCs w:val="24"/>
        </w:rPr>
        <w:t>driftsomkostninger til mi</w:t>
      </w:r>
      <w:r w:rsidRPr="005363D2">
        <w:rPr>
          <w:szCs w:val="24"/>
        </w:rPr>
        <w:t>l</w:t>
      </w:r>
      <w:r w:rsidRPr="005363D2">
        <w:rPr>
          <w:szCs w:val="24"/>
        </w:rPr>
        <w:t>jø- og servicemål</w:t>
      </w:r>
      <w:r w:rsidR="006B2061">
        <w:rPr>
          <w:szCs w:val="24"/>
        </w:rPr>
        <w:t xml:space="preserve"> i prisloftet for 2015</w:t>
      </w:r>
      <w:r w:rsidRPr="005363D2">
        <w:rPr>
          <w:szCs w:val="24"/>
        </w:rPr>
        <w:t>.</w:t>
      </w:r>
    </w:p>
    <w:p w:rsidR="001955F4" w:rsidP="00760E95" w:rsidRDefault="001955F4">
      <w:pPr>
        <w:autoSpaceDE w:val="0"/>
        <w:autoSpaceDN w:val="0"/>
        <w:adjustRightInd w:val="0"/>
        <w:jc w:val="both"/>
      </w:pPr>
    </w:p>
    <w:p w:rsidRPr="00F34DF2" w:rsidR="00C55BCA" w:rsidP="00760E95" w:rsidRDefault="001F00F2">
      <w:pPr>
        <w:jc w:val="both"/>
        <w:rPr>
          <w:b/>
          <w:szCs w:val="24"/>
        </w:rPr>
      </w:pPr>
      <w:r w:rsidRPr="00F34DF2">
        <w:rPr>
          <w:b/>
          <w:szCs w:val="24"/>
        </w:rPr>
        <w:t xml:space="preserve">Tillæg/fradrag for nettofinansielle poster </w:t>
      </w:r>
      <w:r w:rsidRPr="00F34DF2" w:rsidR="001C2FA9">
        <w:rPr>
          <w:b/>
          <w:szCs w:val="24"/>
        </w:rPr>
        <w:t xml:space="preserve">i </w:t>
      </w:r>
      <w:r w:rsidR="006B2061">
        <w:rPr>
          <w:b/>
          <w:szCs w:val="24"/>
        </w:rPr>
        <w:t>2015</w:t>
      </w:r>
      <w:r w:rsidRPr="00F34DF2" w:rsidR="00336D3A">
        <w:rPr>
          <w:b/>
          <w:szCs w:val="24"/>
        </w:rPr>
        <w:t xml:space="preserve"> </w:t>
      </w:r>
    </w:p>
    <w:p w:rsidRPr="00F8783B" w:rsidR="0073621A" w:rsidP="00760E95" w:rsidRDefault="00F8783B">
      <w:pPr>
        <w:jc w:val="both"/>
      </w:pPr>
      <w:r w:rsidRPr="00F34DF2">
        <w:t xml:space="preserve">Prisloftet </w:t>
      </w:r>
      <w:r w:rsidRPr="00F34DF2" w:rsidR="0073621A">
        <w:t>skal efter prisloftbekendtgørelsens</w:t>
      </w:r>
      <w:r w:rsidRPr="00F8783B" w:rsidR="0073621A">
        <w:t xml:space="preserve"> § 5, stk. 1</w:t>
      </w:r>
      <w:r w:rsidR="006F3BA0">
        <w:t>,</w:t>
      </w:r>
      <w:r w:rsidRPr="00F8783B" w:rsidR="0073621A">
        <w:t xml:space="preserve"> korrigeres for selskabets </w:t>
      </w:r>
      <w:r w:rsidR="00804428">
        <w:t>budgetterede</w:t>
      </w:r>
      <w:r w:rsidRPr="00F8783B" w:rsidR="0073621A">
        <w:t xml:space="preserve"> nettofinansielle indtægter og </w:t>
      </w:r>
      <w:r w:rsidRPr="00CE7250" w:rsidR="0073621A">
        <w:t xml:space="preserve">udgifter. </w:t>
      </w:r>
      <w:r w:rsidR="00804428">
        <w:t>Korrekt</w:t>
      </w:r>
      <w:r w:rsidR="00804428">
        <w:t>i</w:t>
      </w:r>
      <w:r w:rsidR="00804428">
        <w:t xml:space="preserve">onen beregnes som et fradrag eller tillæg til prisloftet. </w:t>
      </w:r>
    </w:p>
    <w:p w:rsidRPr="00F8783B" w:rsidR="0059249B" w:rsidP="00760E95" w:rsidRDefault="0059249B">
      <w:pPr>
        <w:jc w:val="both"/>
      </w:pPr>
    </w:p>
    <w:p w:rsidR="00F34DF2" w:rsidP="00760E95" w:rsidRDefault="00804428">
      <w:pPr>
        <w:jc w:val="both"/>
      </w:pPr>
      <w:r>
        <w:t xml:space="preserve">Beløbet </w:t>
      </w:r>
      <w:r w:rsidRPr="00F8783B" w:rsidR="0073621A">
        <w:t xml:space="preserve">for selskabets nettofinansielle poster beregnes som værdien af selskabets </w:t>
      </w:r>
      <w:r w:rsidR="00244AE9">
        <w:t xml:space="preserve">finansielle </w:t>
      </w:r>
      <w:r w:rsidR="00545811">
        <w:t>udgifter</w:t>
      </w:r>
      <w:r w:rsidR="008714B0">
        <w:t xml:space="preserve"> og gebyrer</w:t>
      </w:r>
      <w:r w:rsidR="00244AE9">
        <w:t xml:space="preserve"> fratrukket dets finansielle in</w:t>
      </w:r>
      <w:r w:rsidR="00244AE9">
        <w:t>d</w:t>
      </w:r>
      <w:r w:rsidR="00244AE9">
        <w:t>tægter.</w:t>
      </w:r>
      <w:r w:rsidR="00C06EF0">
        <w:t xml:space="preserve"> </w:t>
      </w:r>
    </w:p>
    <w:p w:rsidR="004D3BD7" w:rsidP="00760E95" w:rsidRDefault="004D3BD7">
      <w:pPr>
        <w:jc w:val="both"/>
      </w:pPr>
    </w:p>
    <w:p w:rsidR="006E67BB" w:rsidP="00760E95" w:rsidRDefault="006E67BB">
      <w:pPr>
        <w:jc w:val="both"/>
      </w:pPr>
      <w:r>
        <w:t xml:space="preserve">Det samlede </w:t>
      </w:r>
      <w:r w:rsidR="00804428">
        <w:t>beløb</w:t>
      </w:r>
      <w:r>
        <w:t xml:space="preserve"> for nettofinansielle poster fremgår af bilag A</w:t>
      </w:r>
      <w:r w:rsidR="00005964">
        <w:t>, fane 10</w:t>
      </w:r>
      <w:r>
        <w:t>.</w:t>
      </w:r>
    </w:p>
    <w:p w:rsidRPr="00F8783B" w:rsidR="0059249B" w:rsidP="00760E95" w:rsidRDefault="0059249B">
      <w:pPr>
        <w:jc w:val="both"/>
      </w:pPr>
    </w:p>
    <w:p w:rsidRPr="00F8783B" w:rsidR="001C2FA9" w:rsidP="00760E95" w:rsidRDefault="001C2FA9">
      <w:pPr>
        <w:jc w:val="both"/>
        <w:rPr>
          <w:b/>
          <w:szCs w:val="24"/>
        </w:rPr>
      </w:pPr>
      <w:r>
        <w:rPr>
          <w:b/>
          <w:szCs w:val="24"/>
        </w:rPr>
        <w:lastRenderedPageBreak/>
        <w:t xml:space="preserve">Korrektion ift. faktiske </w:t>
      </w:r>
      <w:r w:rsidRPr="001F00F2">
        <w:rPr>
          <w:b/>
          <w:szCs w:val="24"/>
        </w:rPr>
        <w:t>nettofinansielle poster</w:t>
      </w:r>
      <w:r>
        <w:rPr>
          <w:b/>
          <w:szCs w:val="24"/>
        </w:rPr>
        <w:t xml:space="preserve"> i 201</w:t>
      </w:r>
      <w:r w:rsidR="006B2061">
        <w:rPr>
          <w:b/>
          <w:szCs w:val="24"/>
        </w:rPr>
        <w:t>3</w:t>
      </w:r>
      <w:r w:rsidR="00F8783B">
        <w:rPr>
          <w:b/>
          <w:szCs w:val="24"/>
        </w:rPr>
        <w:t xml:space="preserve"> </w:t>
      </w:r>
    </w:p>
    <w:p w:rsidRPr="00965142" w:rsidR="0026641C" w:rsidP="00760E95" w:rsidRDefault="00D50DB9">
      <w:pPr>
        <w:autoSpaceDE w:val="0"/>
        <w:autoSpaceDN w:val="0"/>
        <w:adjustRightInd w:val="0"/>
        <w:jc w:val="both"/>
      </w:pPr>
      <w:r>
        <w:t>Der</w:t>
      </w:r>
      <w:r w:rsidRPr="00965142" w:rsidR="0026641C">
        <w:t xml:space="preserve"> foretage</w:t>
      </w:r>
      <w:r>
        <w:t>s</w:t>
      </w:r>
      <w:r w:rsidRPr="00965142" w:rsidR="0026641C">
        <w:t xml:space="preserve"> årligt en engangsregulering for forskelle mellem tidligere indregnede </w:t>
      </w:r>
      <w:r w:rsidR="0026641C">
        <w:t>forventede</w:t>
      </w:r>
      <w:r w:rsidRPr="00965142" w:rsidR="0026641C">
        <w:t xml:space="preserve"> </w:t>
      </w:r>
      <w:r w:rsidR="0026641C">
        <w:t>nettofinansielle poster</w:t>
      </w:r>
      <w:r w:rsidRPr="00965142" w:rsidR="0026641C">
        <w:t xml:space="preserve"> og faktiske beløb </w:t>
      </w:r>
      <w:r w:rsidRPr="00703DB0" w:rsidR="0026641C">
        <w:t xml:space="preserve">i henhold til reguleringsregnskabet for prisloftsåret </w:t>
      </w:r>
      <w:r w:rsidRPr="00965142" w:rsidR="0026641C">
        <w:t>for det år, der ligger to år forud for prisloftåret, jf. prisloftbekendtgørel</w:t>
      </w:r>
      <w:r w:rsidR="00B32BE3">
        <w:t>sens § 5, stk. 2</w:t>
      </w:r>
      <w:r w:rsidRPr="00965142" w:rsidR="0026641C">
        <w:t xml:space="preserve">. </w:t>
      </w:r>
    </w:p>
    <w:p w:rsidRPr="00965142" w:rsidR="0026641C" w:rsidP="00760E95" w:rsidRDefault="0026641C">
      <w:pPr>
        <w:autoSpaceDE w:val="0"/>
        <w:autoSpaceDN w:val="0"/>
        <w:adjustRightInd w:val="0"/>
        <w:jc w:val="both"/>
      </w:pPr>
    </w:p>
    <w:p w:rsidR="006E67BB" w:rsidP="00760E95" w:rsidRDefault="00D50DB9">
      <w:pPr>
        <w:autoSpaceDE w:val="0"/>
        <w:autoSpaceDN w:val="0"/>
        <w:adjustRightInd w:val="0"/>
        <w:jc w:val="both"/>
      </w:pPr>
      <w:r>
        <w:t>K</w:t>
      </w:r>
      <w:r w:rsidRPr="00965142" w:rsidR="006E67BB">
        <w:t>orrektionen i prislof</w:t>
      </w:r>
      <w:r w:rsidR="006E67BB">
        <w:t>tet for 2015 fremgår af bilag A</w:t>
      </w:r>
      <w:r w:rsidR="00005964">
        <w:t>, fane 10</w:t>
      </w:r>
      <w:r w:rsidR="006E67BB">
        <w:t>.</w:t>
      </w:r>
    </w:p>
    <w:p w:rsidR="00637492" w:rsidP="00760E95" w:rsidRDefault="00637492">
      <w:pPr>
        <w:autoSpaceDE w:val="0"/>
        <w:autoSpaceDN w:val="0"/>
        <w:adjustRightInd w:val="0"/>
        <w:jc w:val="both"/>
      </w:pPr>
    </w:p>
    <w:p w:rsidR="00637492" w:rsidP="00760E95" w:rsidRDefault="00637492">
      <w:pPr>
        <w:autoSpaceDE w:val="0"/>
        <w:autoSpaceDN w:val="0"/>
        <w:adjustRightInd w:val="0"/>
        <w:jc w:val="both"/>
      </w:pPr>
    </w:p>
    <w:p w:rsidRPr="003D109A" w:rsidR="00F8783B" w:rsidP="00760E95" w:rsidRDefault="003D109A">
      <w:pPr>
        <w:jc w:val="both"/>
        <w:rPr>
          <w:b/>
          <w:sz w:val="28"/>
          <w:szCs w:val="28"/>
        </w:rPr>
      </w:pPr>
      <w:r w:rsidRPr="003D109A">
        <w:rPr>
          <w:b/>
          <w:sz w:val="28"/>
          <w:szCs w:val="28"/>
        </w:rPr>
        <w:t>Historisk over- eller underdækning</w:t>
      </w:r>
    </w:p>
    <w:p w:rsidRPr="00F34DF2" w:rsidR="00ED592E" w:rsidP="00760E95" w:rsidRDefault="00ED592E">
      <w:pPr>
        <w:jc w:val="both"/>
      </w:pPr>
    </w:p>
    <w:p w:rsidRPr="00F34DF2" w:rsidR="001C2FA9" w:rsidP="00760E95" w:rsidRDefault="00244B2A">
      <w:pPr>
        <w:jc w:val="both"/>
        <w:rPr>
          <w:b/>
          <w:szCs w:val="24"/>
        </w:rPr>
      </w:pPr>
      <w:r w:rsidRPr="00F34DF2">
        <w:rPr>
          <w:b/>
          <w:szCs w:val="24"/>
        </w:rPr>
        <w:t xml:space="preserve">Tillæg/fradrag for over- eller underdækning </w:t>
      </w:r>
      <w:r w:rsidRPr="00F34DF2" w:rsidR="001C2FA9">
        <w:rPr>
          <w:b/>
          <w:szCs w:val="24"/>
        </w:rPr>
        <w:t>til og med 2010</w:t>
      </w:r>
      <w:r w:rsidRPr="00F34DF2" w:rsidR="00336D3A">
        <w:rPr>
          <w:b/>
          <w:szCs w:val="24"/>
        </w:rPr>
        <w:t xml:space="preserve"> </w:t>
      </w:r>
    </w:p>
    <w:p w:rsidR="00140A2F" w:rsidP="00760E95" w:rsidRDefault="00140A2F">
      <w:pPr>
        <w:jc w:val="both"/>
      </w:pPr>
      <w:r w:rsidRPr="00F34DF2">
        <w:t>I prislofterne for 2011 og 2012 er selskabets over- eller underdækning opgjort frem til og med 31. december 2010</w:t>
      </w:r>
      <w:r>
        <w:t>, hvorefter selskabet blev o</w:t>
      </w:r>
      <w:r>
        <w:t>m</w:t>
      </w:r>
      <w:r>
        <w:t xml:space="preserve">fattet af prisloftreglerne. </w:t>
      </w:r>
    </w:p>
    <w:p w:rsidR="00140A2F" w:rsidP="00760E95" w:rsidRDefault="00140A2F">
      <w:pPr>
        <w:jc w:val="both"/>
      </w:pPr>
    </w:p>
    <w:p w:rsidR="00140A2F" w:rsidP="00760E95" w:rsidRDefault="006376EA">
      <w:pPr>
        <w:jc w:val="both"/>
      </w:pPr>
      <w:r>
        <w:t xml:space="preserve">En oversigt over </w:t>
      </w:r>
      <w:r w:rsidR="00140A2F">
        <w:t xml:space="preserve">den opgjorte over- eller underdækning </w:t>
      </w:r>
      <w:r w:rsidR="00DC4292">
        <w:t xml:space="preserve">fremgår af </w:t>
      </w:r>
      <w:r>
        <w:t>bilag A</w:t>
      </w:r>
      <w:r w:rsidR="00D03958">
        <w:t>, fane 11</w:t>
      </w:r>
      <w:r>
        <w:t>.</w:t>
      </w:r>
      <w:r w:rsidR="004C05F4">
        <w:t xml:space="preserve"> </w:t>
      </w:r>
      <w:r w:rsidR="00256A18">
        <w:t>Der indregnes</w:t>
      </w:r>
      <w:r w:rsidR="00140A2F">
        <w:t xml:space="preserve"> samme beløb i prisloftet for 201</w:t>
      </w:r>
      <w:r w:rsidR="004C05F4">
        <w:t>5</w:t>
      </w:r>
      <w:r w:rsidR="00140A2F">
        <w:t xml:space="preserve"> fra den o</w:t>
      </w:r>
      <w:r w:rsidR="00140A2F">
        <w:t>p</w:t>
      </w:r>
      <w:r w:rsidR="00140A2F">
        <w:t>gjorte over- eller underdækning frem til og med 31. december 2010, som blev indregnet i prisloftet for 201</w:t>
      </w:r>
      <w:r w:rsidR="004C05F4">
        <w:t>4</w:t>
      </w:r>
      <w:r w:rsidR="00140A2F">
        <w:t>.</w:t>
      </w:r>
      <w:r w:rsidR="004C05F4">
        <w:t xml:space="preserve"> </w:t>
      </w:r>
      <w:r w:rsidR="00DC4292">
        <w:t>Beløbet</w:t>
      </w:r>
      <w:r w:rsidR="004C05F4">
        <w:t xml:space="preserve"> fremgår af </w:t>
      </w:r>
      <w:r w:rsidR="00ED7B3A">
        <w:t xml:space="preserve">opgørelsen i </w:t>
      </w:r>
      <w:r w:rsidR="004C05F4">
        <w:t>bilag A</w:t>
      </w:r>
      <w:r w:rsidR="00005964">
        <w:t>, fane 11</w:t>
      </w:r>
      <w:r w:rsidR="004C05F4">
        <w:t>.</w:t>
      </w:r>
    </w:p>
    <w:p w:rsidR="00864B5D" w:rsidP="00760E95" w:rsidRDefault="00864B5D">
      <w:pPr>
        <w:jc w:val="both"/>
        <w:rPr>
          <w:sz w:val="20"/>
        </w:rPr>
      </w:pPr>
    </w:p>
    <w:p w:rsidR="0086542C" w:rsidP="00760E95" w:rsidRDefault="0086542C">
      <w:pPr>
        <w:jc w:val="both"/>
        <w:rPr>
          <w:sz w:val="20"/>
        </w:rPr>
      </w:pPr>
    </w:p>
    <w:p w:rsidRPr="003D1ED6" w:rsidR="003D109A" w:rsidP="00760E95" w:rsidRDefault="003D109A">
      <w:pPr>
        <w:jc w:val="both"/>
        <w:rPr>
          <w:b/>
          <w:sz w:val="28"/>
          <w:szCs w:val="28"/>
        </w:rPr>
      </w:pPr>
      <w:r w:rsidRPr="003D1ED6">
        <w:rPr>
          <w:b/>
          <w:sz w:val="28"/>
          <w:szCs w:val="28"/>
        </w:rPr>
        <w:t xml:space="preserve">Korrektion i forhold til tidligere indtægtsramme </w:t>
      </w:r>
    </w:p>
    <w:p w:rsidRPr="001F00F2" w:rsidR="003D1ED6" w:rsidP="00760E95" w:rsidRDefault="003D1ED6">
      <w:pPr>
        <w:jc w:val="both"/>
      </w:pPr>
    </w:p>
    <w:p w:rsidRPr="001C2FA9" w:rsidR="00B37FF9" w:rsidP="00760E95" w:rsidRDefault="00B37FF9">
      <w:pPr>
        <w:jc w:val="both"/>
        <w:rPr>
          <w:b/>
          <w:szCs w:val="24"/>
        </w:rPr>
      </w:pPr>
      <w:r w:rsidRPr="00F34DF2">
        <w:rPr>
          <w:b/>
          <w:szCs w:val="24"/>
        </w:rPr>
        <w:t>Korrektion for overholdelse af indtægtsramme</w:t>
      </w:r>
      <w:r>
        <w:rPr>
          <w:b/>
          <w:szCs w:val="24"/>
        </w:rPr>
        <w:t>n</w:t>
      </w:r>
      <w:r w:rsidRPr="00F34DF2">
        <w:rPr>
          <w:b/>
          <w:szCs w:val="24"/>
        </w:rPr>
        <w:t xml:space="preserve"> i prisloft</w:t>
      </w:r>
      <w:r>
        <w:rPr>
          <w:b/>
          <w:szCs w:val="24"/>
        </w:rPr>
        <w:t>et for</w:t>
      </w:r>
      <w:r w:rsidR="00147910">
        <w:rPr>
          <w:b/>
          <w:szCs w:val="24"/>
        </w:rPr>
        <w:t xml:space="preserve"> 2013</w:t>
      </w:r>
      <w:r>
        <w:rPr>
          <w:b/>
          <w:szCs w:val="24"/>
        </w:rPr>
        <w:t xml:space="preserve"> </w:t>
      </w:r>
    </w:p>
    <w:p w:rsidR="00DB5DB0" w:rsidP="009E3E07" w:rsidRDefault="00DB5DB0">
      <w:pPr>
        <w:autoSpaceDE w:val="0"/>
        <w:autoSpaceDN w:val="0"/>
        <w:jc w:val="both"/>
        <w:rPr>
          <w:color w:val="000000"/>
          <w:szCs w:val="24"/>
        </w:rPr>
      </w:pPr>
      <w:r>
        <w:rPr>
          <w:color w:val="000000"/>
          <w:szCs w:val="24"/>
        </w:rPr>
        <w:t>Forsyningssekretariatet foretage</w:t>
      </w:r>
      <w:r w:rsidR="00917A87">
        <w:rPr>
          <w:color w:val="000000"/>
          <w:szCs w:val="24"/>
        </w:rPr>
        <w:t>r</w:t>
      </w:r>
      <w:r>
        <w:rPr>
          <w:color w:val="000000"/>
          <w:szCs w:val="24"/>
        </w:rPr>
        <w:t xml:space="preserve"> en kontrol med overholdelsen af se</w:t>
      </w:r>
      <w:r>
        <w:rPr>
          <w:color w:val="000000"/>
          <w:szCs w:val="24"/>
        </w:rPr>
        <w:t>l</w:t>
      </w:r>
      <w:r>
        <w:rPr>
          <w:color w:val="000000"/>
          <w:szCs w:val="24"/>
        </w:rPr>
        <w:t>skabets tidligere udmeldte indtægtsramme</w:t>
      </w:r>
      <w:r w:rsidR="00917A87">
        <w:rPr>
          <w:color w:val="000000"/>
          <w:szCs w:val="24"/>
        </w:rPr>
        <w:t>, jf.</w:t>
      </w:r>
      <w:r>
        <w:rPr>
          <w:color w:val="000000"/>
          <w:szCs w:val="24"/>
        </w:rPr>
        <w:t xml:space="preserve"> </w:t>
      </w:r>
      <w:r w:rsidR="00917A87">
        <w:rPr>
          <w:color w:val="000000"/>
          <w:szCs w:val="24"/>
        </w:rPr>
        <w:t>prisloftbekendtgørelsens § 5, stk. 2.</w:t>
      </w:r>
    </w:p>
    <w:p w:rsidR="00DB5DB0" w:rsidP="009E3E07" w:rsidRDefault="00DB5DB0">
      <w:pPr>
        <w:autoSpaceDE w:val="0"/>
        <w:autoSpaceDN w:val="0"/>
        <w:jc w:val="both"/>
        <w:rPr>
          <w:color w:val="000000"/>
          <w:szCs w:val="24"/>
        </w:rPr>
      </w:pPr>
    </w:p>
    <w:p w:rsidR="009E3E07" w:rsidP="009E3E07" w:rsidRDefault="00DB4D3C">
      <w:pPr>
        <w:autoSpaceDE w:val="0"/>
        <w:autoSpaceDN w:val="0"/>
        <w:jc w:val="both"/>
      </w:pPr>
      <w:r>
        <w:rPr>
          <w:color w:val="000000"/>
          <w:szCs w:val="24"/>
        </w:rPr>
        <w:t>P</w:t>
      </w:r>
      <w:r w:rsidR="00B37FF9">
        <w:rPr>
          <w:color w:val="000000"/>
          <w:szCs w:val="24"/>
        </w:rPr>
        <w:t>risloftet</w:t>
      </w:r>
      <w:r w:rsidR="009A4C15">
        <w:rPr>
          <w:color w:val="000000"/>
          <w:szCs w:val="24"/>
        </w:rPr>
        <w:t xml:space="preserve"> for 2015</w:t>
      </w:r>
      <w:r w:rsidR="00B37FF9">
        <w:rPr>
          <w:color w:val="000000"/>
          <w:szCs w:val="24"/>
        </w:rPr>
        <w:t xml:space="preserve"> </w:t>
      </w:r>
      <w:r>
        <w:rPr>
          <w:color w:val="000000"/>
          <w:szCs w:val="24"/>
        </w:rPr>
        <w:t xml:space="preserve">korrigeres </w:t>
      </w:r>
      <w:r w:rsidR="00DB5DB0">
        <w:rPr>
          <w:color w:val="000000"/>
          <w:szCs w:val="24"/>
        </w:rPr>
        <w:t xml:space="preserve">derfor </w:t>
      </w:r>
      <w:r w:rsidRPr="003F2158" w:rsidR="00B37FF9">
        <w:t>for forskellen mellem selskabets fa</w:t>
      </w:r>
      <w:r w:rsidRPr="003F2158" w:rsidR="00B37FF9">
        <w:t>k</w:t>
      </w:r>
      <w:r w:rsidRPr="003F2158" w:rsidR="00B37FF9">
        <w:t>tiske indtægter og indtægtsrammen</w:t>
      </w:r>
      <w:r w:rsidR="009A4C15">
        <w:t xml:space="preserve"> i prisloftet for 2013</w:t>
      </w:r>
      <w:r w:rsidRPr="003F2158" w:rsidR="00B37FF9">
        <w:t>, jf.</w:t>
      </w:r>
      <w:r w:rsidR="00DB5DB0">
        <w:t xml:space="preserve"> </w:t>
      </w:r>
      <w:r w:rsidRPr="003F2158" w:rsidR="00B37FF9">
        <w:t>§ 6</w:t>
      </w:r>
      <w:r w:rsidR="00864B5D">
        <w:rPr>
          <w:rStyle w:val="Fodnotehenvisning"/>
        </w:rPr>
        <w:footnoteReference w:id="5"/>
      </w:r>
      <w:r w:rsidR="00B37FF9">
        <w:t>.</w:t>
      </w:r>
      <w:r w:rsidR="009E3E07">
        <w:t xml:space="preserve"> </w:t>
      </w:r>
      <w:r w:rsidR="00281D07">
        <w:t xml:space="preserve">Dette omfatter også en korrektion </w:t>
      </w:r>
      <w:r w:rsidRPr="003C5C9D" w:rsidR="009E3E07">
        <w:t>f</w:t>
      </w:r>
      <w:r w:rsidR="009E3E07">
        <w:t xml:space="preserve">or </w:t>
      </w:r>
      <w:r w:rsidRPr="003C5C9D" w:rsidR="009E3E07">
        <w:t>en eventuelt ikke anvendt del af likvidit</w:t>
      </w:r>
      <w:r w:rsidR="009E3E07">
        <w:t>e</w:t>
      </w:r>
      <w:r w:rsidR="009E3E07">
        <w:t>ten fra investeringstillæggene</w:t>
      </w:r>
      <w:r w:rsidR="00281D07">
        <w:t xml:space="preserve"> i 2013</w:t>
      </w:r>
      <w:r w:rsidR="009E3E07">
        <w:t>.</w:t>
      </w:r>
      <w:r w:rsidRPr="003C5C9D" w:rsidR="009E3E07">
        <w:t xml:space="preserve"> </w:t>
      </w:r>
    </w:p>
    <w:p w:rsidR="009E3E07" w:rsidP="00AF1695" w:rsidRDefault="009E3E07">
      <w:pPr>
        <w:autoSpaceDE w:val="0"/>
        <w:autoSpaceDN w:val="0"/>
        <w:jc w:val="both"/>
      </w:pPr>
    </w:p>
    <w:p w:rsidR="00AF1695" w:rsidP="00AF1695" w:rsidRDefault="00F95B6B">
      <w:pPr>
        <w:autoSpaceDE w:val="0"/>
        <w:autoSpaceDN w:val="0"/>
        <w:jc w:val="both"/>
      </w:pPr>
      <w:r>
        <w:t xml:space="preserve">Prisloftet for 2015 </w:t>
      </w:r>
      <w:r w:rsidR="00AF1695">
        <w:t xml:space="preserve">korrigeres </w:t>
      </w:r>
      <w:r>
        <w:t xml:space="preserve">derudover </w:t>
      </w:r>
      <w:r w:rsidR="00AF1695">
        <w:t>for eventuelt ikke opkrævede ti</w:t>
      </w:r>
      <w:r w:rsidR="00AF1695">
        <w:t>l</w:t>
      </w:r>
      <w:r w:rsidR="00AF1695">
        <w:t xml:space="preserve">læg stammende fra </w:t>
      </w:r>
      <w:r w:rsidR="00281D07">
        <w:t>k</w:t>
      </w:r>
      <w:r w:rsidR="00216A00">
        <w:t>orrektionen</w:t>
      </w:r>
      <w:r w:rsidR="00281D07">
        <w:t xml:space="preserve"> med indtægtsrammen i</w:t>
      </w:r>
      <w:r w:rsidR="00AF1695">
        <w:t xml:space="preserve"> prisloft</w:t>
      </w:r>
      <w:r w:rsidR="00281D07">
        <w:t>et i 2013</w:t>
      </w:r>
      <w:r w:rsidR="00AF1695">
        <w:t>.</w:t>
      </w:r>
      <w:r w:rsidR="00DC2FBE">
        <w:t xml:space="preserve"> </w:t>
      </w:r>
      <w:r w:rsidR="007D061F">
        <w:t xml:space="preserve">Det betyder, at hvis </w:t>
      </w:r>
      <w:r w:rsidR="007C5050">
        <w:t xml:space="preserve">selskabet </w:t>
      </w:r>
      <w:r w:rsidR="009E3E07">
        <w:t xml:space="preserve">i </w:t>
      </w:r>
      <w:r w:rsidR="007D061F">
        <w:t xml:space="preserve">prisloftet for 2013 </w:t>
      </w:r>
      <w:r w:rsidR="007C5050">
        <w:t>fik et tillæg for ove</w:t>
      </w:r>
      <w:r w:rsidR="007C5050">
        <w:t>r</w:t>
      </w:r>
      <w:r w:rsidR="007C5050">
        <w:t>holdel</w:t>
      </w:r>
      <w:r w:rsidR="007D061F">
        <w:t>sen af indtægtsrammen for 2011</w:t>
      </w:r>
      <w:r w:rsidR="007C5050">
        <w:t xml:space="preserve"> og ikke har opkrævet tillægget i 2013, nedsættes prisloftet </w:t>
      </w:r>
      <w:r w:rsidR="007D061F">
        <w:t xml:space="preserve">for 2015 </w:t>
      </w:r>
      <w:r w:rsidR="007C5050">
        <w:t xml:space="preserve">med det ikke opkrævede tillæg. </w:t>
      </w:r>
    </w:p>
    <w:p w:rsidR="00B37FF9" w:rsidP="00760E95" w:rsidRDefault="00B37FF9">
      <w:pPr>
        <w:jc w:val="both"/>
        <w:rPr>
          <w:color w:val="000000"/>
          <w:szCs w:val="24"/>
        </w:rPr>
      </w:pPr>
    </w:p>
    <w:p w:rsidR="0076051E" w:rsidP="000C0E11" w:rsidRDefault="00216A00">
      <w:pPr>
        <w:autoSpaceDE w:val="0"/>
        <w:autoSpaceDN w:val="0"/>
        <w:adjustRightInd w:val="0"/>
        <w:spacing w:line="240" w:lineRule="auto"/>
        <w:jc w:val="both"/>
      </w:pPr>
      <w:r>
        <w:t xml:space="preserve">Korrektionen </w:t>
      </w:r>
      <w:r w:rsidR="009A22D7">
        <w:t xml:space="preserve">i prisloftet for 2015 </w:t>
      </w:r>
      <w:r>
        <w:t xml:space="preserve">for </w:t>
      </w:r>
      <w:r w:rsidR="00B37FF9">
        <w:t>selskabets overholdelse af in</w:t>
      </w:r>
      <w:r w:rsidR="00B37FF9">
        <w:t>d</w:t>
      </w:r>
      <w:r w:rsidR="00B37FF9">
        <w:t>tægtsrammen i prisloftet for 2013</w:t>
      </w:r>
      <w:r>
        <w:t xml:space="preserve"> </w:t>
      </w:r>
      <w:r w:rsidR="00B37FF9">
        <w:t>fremgår af bilag A</w:t>
      </w:r>
      <w:r w:rsidR="00005964">
        <w:t>, fane 12</w:t>
      </w:r>
      <w:r w:rsidR="00B37FF9">
        <w:t>. Opgøre</w:t>
      </w:r>
      <w:r w:rsidR="00B37FF9">
        <w:t>l</w:t>
      </w:r>
      <w:r w:rsidR="00B37FF9">
        <w:t xml:space="preserve">sen er </w:t>
      </w:r>
      <w:r w:rsidRPr="00AC299A" w:rsidR="00B37FF9">
        <w:t xml:space="preserve">baseret på </w:t>
      </w:r>
      <w:r w:rsidR="00B37FF9">
        <w:t>oplysninger fra selskabets prisloft for 2013 samt de indberettede oplysninger i regulerings- og investeringsregnskaberne for 2013.</w:t>
      </w:r>
      <w:r w:rsidRPr="000C0E11" w:rsidR="000C0E11">
        <w:t xml:space="preserve"> </w:t>
      </w:r>
    </w:p>
    <w:p w:rsidR="00B82DF3" w:rsidP="00760E95" w:rsidRDefault="00B82DF3">
      <w:pPr>
        <w:jc w:val="both"/>
      </w:pPr>
      <w:r>
        <w:lastRenderedPageBreak/>
        <w:t xml:space="preserve">Hvis selskabets faktiske udgifter til </w:t>
      </w:r>
      <w:r w:rsidR="00B602A2">
        <w:t>investeringer i 201</w:t>
      </w:r>
      <w:r w:rsidR="00841B64">
        <w:t>3</w:t>
      </w:r>
      <w:r>
        <w:t xml:space="preserve"> overstiger det samlede investeringstillæg for 201</w:t>
      </w:r>
      <w:r w:rsidR="00841B64">
        <w:t>3</w:t>
      </w:r>
      <w:r>
        <w:t xml:space="preserve"> samt indtægter fra </w:t>
      </w:r>
      <w:r w:rsidRPr="003C5C9D">
        <w:t>tilslutningsbidrag</w:t>
      </w:r>
      <w:r>
        <w:t xml:space="preserve">, erstatninger vedr. anlægsinvesteringer og </w:t>
      </w:r>
      <w:r w:rsidRPr="003C5C9D">
        <w:t>salg af anlægsaktiver</w:t>
      </w:r>
      <w:r>
        <w:t xml:space="preserve">, justeres beløbet </w:t>
      </w:r>
      <w:r w:rsidR="00661CFC">
        <w:t xml:space="preserve">for </w:t>
      </w:r>
      <w:r>
        <w:t>”</w:t>
      </w:r>
      <w:r w:rsidRPr="002834EC">
        <w:rPr>
          <w:i/>
        </w:rPr>
        <w:t>ikke anvendt likviditet vedr</w:t>
      </w:r>
      <w:r w:rsidR="00742AAA">
        <w:rPr>
          <w:i/>
        </w:rPr>
        <w:t>ørende</w:t>
      </w:r>
      <w:r w:rsidRPr="002834EC">
        <w:rPr>
          <w:i/>
        </w:rPr>
        <w:t xml:space="preserve"> investeringer i alt”</w:t>
      </w:r>
      <w:r w:rsidRPr="00661CFC" w:rsidR="00661CFC">
        <w:t xml:space="preserve"> i </w:t>
      </w:r>
      <w:r w:rsidRPr="00661CFC">
        <w:t>t</w:t>
      </w:r>
      <w:r w:rsidRPr="00661CFC">
        <w:t>a</w:t>
      </w:r>
      <w:r w:rsidRPr="00661CFC">
        <w:t xml:space="preserve">bellen </w:t>
      </w:r>
      <w:r w:rsidRPr="00661CFC" w:rsidR="00661CFC">
        <w:t>i bilag A</w:t>
      </w:r>
      <w:r w:rsidR="00D41AFD">
        <w:t>, fane 12</w:t>
      </w:r>
      <w:r w:rsidRPr="00661CFC">
        <w:t xml:space="preserve"> til 0</w:t>
      </w:r>
      <w:r w:rsidRPr="00661CFC" w:rsidR="00661CFC">
        <w:t xml:space="preserve"> kr</w:t>
      </w:r>
      <w:r w:rsidRPr="00661CFC">
        <w:t>. Det skyldes, at investeringsudgifter al</w:t>
      </w:r>
      <w:r w:rsidRPr="00661CFC">
        <w:t>e</w:t>
      </w:r>
      <w:r w:rsidRPr="00661CFC">
        <w:t>ne kan finansieres med likviditet fra de i § 24, stk. 1</w:t>
      </w:r>
      <w:r w:rsidRPr="00661CFC" w:rsidR="00FB283A">
        <w:t>,</w:t>
      </w:r>
      <w:r>
        <w:t xml:space="preserve"> nævnte tillæg og indtægter. </w:t>
      </w:r>
    </w:p>
    <w:p w:rsidR="00C21FD6" w:rsidP="00760E95" w:rsidRDefault="00C21FD6">
      <w:pPr>
        <w:jc w:val="both"/>
      </w:pPr>
    </w:p>
    <w:p w:rsidR="00142787" w:rsidP="00142787" w:rsidRDefault="00142787">
      <w:pPr>
        <w:jc w:val="both"/>
      </w:pPr>
      <w:r>
        <w:t>Forsyningssekretariatet har gennemgået og kontrolberegnet en række se</w:t>
      </w:r>
      <w:r>
        <w:t>l</w:t>
      </w:r>
      <w:r>
        <w:t>skabers opgørelser af den ekstraordinære effektiviseringsgevinst. I den forbindelse er Forsyningssekretariatet blevet opmærksom på, at selsk</w:t>
      </w:r>
      <w:r>
        <w:t>a</w:t>
      </w:r>
      <w:r>
        <w:t xml:space="preserve">bets ekstraordinære </w:t>
      </w:r>
      <w:r w:rsidRPr="00142787">
        <w:t>effektiviseringsgevinst ikke er opgjort korrekt. Se</w:t>
      </w:r>
      <w:r w:rsidRPr="00142787">
        <w:t>l</w:t>
      </w:r>
      <w:r w:rsidRPr="00142787">
        <w:t>skabet blev kontaktet herom i mail af 16. september 2014. Selskabet har ikke givet nogle bemærkninger hertil.</w:t>
      </w:r>
      <w:r>
        <w:t xml:space="preserve"> Selskabets ekstraordinære effekt</w:t>
      </w:r>
      <w:r>
        <w:t>i</w:t>
      </w:r>
      <w:r>
        <w:t xml:space="preserve">viseringsgevinst er blevet korrigeret i henhold til den nye opgørelse. </w:t>
      </w:r>
    </w:p>
    <w:p w:rsidR="00142787" w:rsidP="00760E95" w:rsidRDefault="00142787">
      <w:pPr>
        <w:jc w:val="both"/>
      </w:pPr>
    </w:p>
    <w:p w:rsidR="00C21FD6" w:rsidP="00760E95" w:rsidRDefault="00C21FD6">
      <w:pPr>
        <w:jc w:val="both"/>
      </w:pPr>
      <w:r>
        <w:t xml:space="preserve">En opgørelse over selskabets </w:t>
      </w:r>
      <w:r w:rsidR="00AB685B">
        <w:t xml:space="preserve">eventuelle </w:t>
      </w:r>
      <w:r>
        <w:t>ekstraordinære effe</w:t>
      </w:r>
      <w:r w:rsidR="00E074D4">
        <w:t>ktivisering</w:t>
      </w:r>
      <w:r w:rsidR="00E074D4">
        <w:t>s</w:t>
      </w:r>
      <w:r w:rsidR="00E074D4">
        <w:t>gevinster findes i b</w:t>
      </w:r>
      <w:r>
        <w:t>ilag A</w:t>
      </w:r>
      <w:r w:rsidR="00005964">
        <w:t>, fane 12</w:t>
      </w:r>
      <w:r w:rsidR="00E074D4">
        <w:t>.</w:t>
      </w:r>
    </w:p>
    <w:p w:rsidR="000463BF" w:rsidP="00760E95" w:rsidRDefault="000463BF">
      <w:pPr>
        <w:jc w:val="both"/>
      </w:pPr>
    </w:p>
    <w:p w:rsidRPr="004155C6" w:rsidR="000463BF" w:rsidP="00760E95" w:rsidRDefault="000463BF">
      <w:pPr>
        <w:jc w:val="both"/>
      </w:pPr>
      <w:r w:rsidRPr="000463BF">
        <w:t>Det bemærkes, at hvis selskabet har opnået en ekstraordinær effektivis</w:t>
      </w:r>
      <w:r w:rsidRPr="000463BF">
        <w:t>e</w:t>
      </w:r>
      <w:r w:rsidRPr="000463BF">
        <w:t>ringsgevinst, skal denne skal være anvendt senest 4 år efter det år, hvor gevinsten er indhentet, jf. § 26, stk. 3 i prisloftbekendtgørelsen. Hvis e</w:t>
      </w:r>
      <w:r w:rsidRPr="000463BF">
        <w:t>f</w:t>
      </w:r>
      <w:r w:rsidRPr="000463BF">
        <w:t>fektiviseringsgevinsten ikke anvendes inden for de 4 år, vil den frafalde, som vist i opgørelsen i bilag A</w:t>
      </w:r>
      <w:r>
        <w:t>.</w:t>
      </w:r>
    </w:p>
    <w:p w:rsidRPr="00ED592E" w:rsidR="00ED592E" w:rsidP="00760E95" w:rsidRDefault="00ED592E">
      <w:pPr>
        <w:pStyle w:val="Overskrift1"/>
        <w:pageBreakBefore/>
        <w:jc w:val="both"/>
        <w:rPr>
          <w:sz w:val="28"/>
          <w:szCs w:val="28"/>
        </w:rPr>
      </w:pPr>
      <w:r w:rsidRPr="00ED592E">
        <w:rPr>
          <w:sz w:val="28"/>
          <w:szCs w:val="28"/>
        </w:rPr>
        <w:lastRenderedPageBreak/>
        <w:t xml:space="preserve">Klagevejledning </w:t>
      </w:r>
    </w:p>
    <w:p w:rsidR="00ED592E" w:rsidP="00760E95" w:rsidRDefault="00ED592E">
      <w:pPr>
        <w:jc w:val="both"/>
      </w:pPr>
    </w:p>
    <w:p w:rsidRPr="00A270DD" w:rsidR="00ED592E" w:rsidP="00760E95" w:rsidRDefault="00ED592E">
      <w:pPr>
        <w:jc w:val="both"/>
      </w:pPr>
      <w:r w:rsidRPr="00A270DD">
        <w:t>Denne afgørelse kan i henhold til vandsektorlovens § 26, stk. 2, påklages til Konkurrenceankenævnet efter bestemmelserne i vandsektorlovens k</w:t>
      </w:r>
      <w:r w:rsidRPr="00A270DD">
        <w:t>a</w:t>
      </w:r>
      <w:r w:rsidRPr="00A270DD">
        <w:t xml:space="preserve">pitel 9. </w:t>
      </w:r>
      <w:r w:rsidRPr="00A270DD" w:rsidR="00EA433F">
        <w:t xml:space="preserve">Klagefristen er 4 uger fra den dag, afgørelsen er meddelt. </w:t>
      </w:r>
      <w:r w:rsidRPr="00A270DD">
        <w:t>En kl</w:t>
      </w:r>
      <w:r w:rsidRPr="00A270DD">
        <w:t>a</w:t>
      </w:r>
      <w:r w:rsidRPr="00A270DD">
        <w:t xml:space="preserve">ge til Konkurrenceankenævnet skal indgives skriftligt </w:t>
      </w:r>
      <w:r w:rsidR="00EA433F">
        <w:t>til Forsyningss</w:t>
      </w:r>
      <w:r w:rsidR="00EA433F">
        <w:t>e</w:t>
      </w:r>
      <w:r w:rsidR="00EA433F">
        <w:t xml:space="preserve">kretariatet </w:t>
      </w:r>
      <w:r w:rsidRPr="00A270DD">
        <w:t>af de klageberetti</w:t>
      </w:r>
      <w:r w:rsidR="00EA433F">
        <w:t>gede efter lovens § 27</w:t>
      </w:r>
      <w:r w:rsidRPr="00A270DD">
        <w:t>. Forsyningssekretari</w:t>
      </w:r>
      <w:r w:rsidRPr="00A270DD">
        <w:t>a</w:t>
      </w:r>
      <w:r w:rsidRPr="00A270DD">
        <w:t>tet sender umiddelbart efter klagefristens udløb klagen til Konkurrenc</w:t>
      </w:r>
      <w:r w:rsidRPr="00A270DD">
        <w:t>e</w:t>
      </w:r>
      <w:r w:rsidRPr="00A270DD">
        <w:t xml:space="preserve">ankenævnet ledsaget af den påklagede afgørelse og det materiale, der er indgået i sagens bedømmelse. </w:t>
      </w:r>
    </w:p>
    <w:p w:rsidRPr="00A270DD" w:rsidR="00ED592E" w:rsidP="00760E95" w:rsidRDefault="00ED592E">
      <w:pPr>
        <w:jc w:val="both"/>
      </w:pPr>
    </w:p>
    <w:p w:rsidRPr="00A270DD" w:rsidR="00ED592E" w:rsidP="00760E95" w:rsidRDefault="00ED592E">
      <w:pPr>
        <w:jc w:val="both"/>
      </w:pPr>
      <w:r w:rsidRPr="00A270DD">
        <w:t>De klageberettigede er ifølge § 27</w:t>
      </w:r>
      <w:r w:rsidRPr="00A270DD" w:rsidR="00A270DD">
        <w:t>, stk. 1,</w:t>
      </w:r>
      <w:r w:rsidRPr="00A270DD">
        <w:t xml:space="preserve"> adressaten for afgørelsen. </w:t>
      </w:r>
      <w:r w:rsidR="00AC2464">
        <w:t>O</w:t>
      </w:r>
      <w:r w:rsidRPr="00A270DD">
        <w:t>f</w:t>
      </w:r>
      <w:r w:rsidRPr="00A270DD">
        <w:t>fentlige myndigheder</w:t>
      </w:r>
      <w:r w:rsidR="005F03BD">
        <w:t xml:space="preserve"> samt</w:t>
      </w:r>
      <w:r w:rsidRPr="00A270DD">
        <w:t xml:space="preserve"> loka</w:t>
      </w:r>
      <w:r w:rsidR="005F03BD">
        <w:t>le og landsdækkende foreninger og org</w:t>
      </w:r>
      <w:r w:rsidR="005F03BD">
        <w:t>a</w:t>
      </w:r>
      <w:r w:rsidR="005F03BD">
        <w:t>nisationer</w:t>
      </w:r>
      <w:r w:rsidRPr="00A270DD">
        <w:t xml:space="preserve"> </w:t>
      </w:r>
      <w:r w:rsidR="00AC2464">
        <w:t xml:space="preserve">kan under visse forudsætninger </w:t>
      </w:r>
      <w:r w:rsidR="005F03BD">
        <w:t xml:space="preserve">være </w:t>
      </w:r>
      <w:r w:rsidRPr="00A270DD">
        <w:t xml:space="preserve">klageberettigede for så vidt angår spørgsmål om natur og miljø. </w:t>
      </w:r>
      <w:r w:rsidR="00AC2464">
        <w:t xml:space="preserve">Der henvises til vilkårene i § 27, stk. 1. </w:t>
      </w:r>
      <w:r w:rsidRPr="00A270DD">
        <w:t>Konkurrenceankenævnet kan efter bestemmelsens stk. 2 kræve, at foreninger og organisationer, jf. stk. 1, dokumenterer deres klageberett</w:t>
      </w:r>
      <w:r w:rsidRPr="00A270DD">
        <w:t>i</w:t>
      </w:r>
      <w:r w:rsidRPr="00A270DD">
        <w:t xml:space="preserve">gelse ved at indsende vedtægter eller på anden måde. </w:t>
      </w:r>
    </w:p>
    <w:p w:rsidRPr="00A270DD" w:rsidR="00ED592E" w:rsidP="00760E95" w:rsidRDefault="00ED592E">
      <w:pPr>
        <w:jc w:val="both"/>
      </w:pPr>
    </w:p>
    <w:p w:rsidRPr="00A270DD" w:rsidR="00ED592E" w:rsidP="00760E95" w:rsidRDefault="00ED592E">
      <w:pPr>
        <w:jc w:val="both"/>
      </w:pPr>
      <w:r w:rsidRPr="00A270DD">
        <w:t>Konkurrenceankenævnet opkræver et gebyr på 5.000 kr. for at behandle en klage og fastsætter frist for dets indbetaling. Betalingen s</w:t>
      </w:r>
      <w:r w:rsidR="00E46419">
        <w:t>kal ske</w:t>
      </w:r>
      <w:r w:rsidRPr="00A270DD">
        <w:t xml:space="preserve"> d</w:t>
      </w:r>
      <w:r w:rsidRPr="00A270DD">
        <w:t>i</w:t>
      </w:r>
      <w:r w:rsidRPr="00A270DD">
        <w:t>rekte til Konkurrenceankenævnet.</w:t>
      </w:r>
    </w:p>
    <w:p w:rsidRPr="00A270DD" w:rsidR="00ED592E" w:rsidP="00760E95" w:rsidRDefault="00ED592E">
      <w:pPr>
        <w:jc w:val="both"/>
      </w:pPr>
    </w:p>
    <w:p w:rsidRPr="00A270DD" w:rsidR="00ED592E" w:rsidP="00760E95" w:rsidRDefault="00ED592E">
      <w:pPr>
        <w:jc w:val="both"/>
      </w:pPr>
      <w:r w:rsidRPr="00A270DD">
        <w:t xml:space="preserve">Forsyningssekretariatets afgørelser om prislofter kan ifølge </w:t>
      </w:r>
      <w:r w:rsidR="00E46419">
        <w:t>vandsekto</w:t>
      </w:r>
      <w:r w:rsidR="00E46419">
        <w:t>r</w:t>
      </w:r>
      <w:r w:rsidR="00E46419">
        <w:t xml:space="preserve">lovens </w:t>
      </w:r>
      <w:r w:rsidRPr="00A270DD">
        <w:t>§ 29, stk. 2, ikke indbringes for domstolene, før Konkurrencea</w:t>
      </w:r>
      <w:r w:rsidRPr="00A270DD">
        <w:t>n</w:t>
      </w:r>
      <w:r w:rsidRPr="00A270DD">
        <w:t xml:space="preserve">kenævnets endelige afgørelse foreligger. </w:t>
      </w:r>
    </w:p>
    <w:p w:rsidRPr="00A270DD" w:rsidR="00ED592E" w:rsidP="00760E95" w:rsidRDefault="00ED592E">
      <w:pPr>
        <w:jc w:val="both"/>
      </w:pPr>
    </w:p>
    <w:p w:rsidR="00ED592E" w:rsidP="00760E95" w:rsidRDefault="00ED592E">
      <w:pPr>
        <w:jc w:val="both"/>
      </w:pPr>
    </w:p>
    <w:p w:rsidRPr="00E73059" w:rsidR="009806DD" w:rsidP="00760E95" w:rsidRDefault="009806DD">
      <w:pPr>
        <w:jc w:val="both"/>
      </w:pPr>
      <w:r w:rsidRPr="00E73059">
        <w:t>Med venlig hilsen</w:t>
      </w:r>
    </w:p>
    <w:p w:rsidRPr="00E73059" w:rsidR="009806DD" w:rsidP="00760E95" w:rsidRDefault="009806DD">
      <w:pPr>
        <w:jc w:val="both"/>
      </w:pPr>
    </w:p>
    <w:p w:rsidRPr="00E73059" w:rsidR="009806DD" w:rsidP="00760E95" w:rsidRDefault="009806DD">
      <w:pPr>
        <w:jc w:val="both"/>
      </w:pPr>
      <w:r w:rsidRPr="00E73059">
        <w:t xml:space="preserve">Forsyningssekretariatet                                                                                             </w:t>
      </w:r>
    </w:p>
    <w:p w:rsidRPr="00E73059" w:rsidR="009806DD" w:rsidP="00760E95" w:rsidRDefault="009806DD">
      <w:pPr>
        <w:jc w:val="both"/>
      </w:pPr>
      <w:r w:rsidRPr="00E73059">
        <w:rPr>
          <w:noProof/>
        </w:rPr>
        <w:drawing>
          <wp:anchor distT="0" distB="0" distL="114300" distR="114300" simplePos="0" relativeHeight="251659264" behindDoc="1" locked="0" layoutInCell="1" allowOverlap="0" wp14:editId="2CB01891" wp14:anchorId="344741B2">
            <wp:simplePos x="0" y="0"/>
            <wp:positionH relativeFrom="column">
              <wp:posOffset>-1270</wp:posOffset>
            </wp:positionH>
            <wp:positionV relativeFrom="paragraph">
              <wp:posOffset>28575</wp:posOffset>
            </wp:positionV>
            <wp:extent cx="1835785" cy="680085"/>
            <wp:effectExtent l="0" t="0" r="0" b="5715"/>
            <wp:wrapTight wrapText="bothSides">
              <wp:wrapPolygon edited="0">
                <wp:start x="0" y="0"/>
                <wp:lineTo x="0" y="21176"/>
                <wp:lineTo x="21294" y="21176"/>
                <wp:lineTo x="21294"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785" cy="680085"/>
                    </a:xfrm>
                    <a:prstGeom prst="rect">
                      <a:avLst/>
                    </a:prstGeom>
                    <a:noFill/>
                  </pic:spPr>
                </pic:pic>
              </a:graphicData>
            </a:graphic>
            <wp14:sizeRelH relativeFrom="page">
              <wp14:pctWidth>0</wp14:pctWidth>
            </wp14:sizeRelH>
            <wp14:sizeRelV relativeFrom="page">
              <wp14:pctHeight>0</wp14:pctHeight>
            </wp14:sizeRelV>
          </wp:anchor>
        </w:drawing>
      </w:r>
    </w:p>
    <w:p w:rsidRPr="00E73059" w:rsidR="009806DD" w:rsidP="00760E95" w:rsidRDefault="009806DD">
      <w:pPr>
        <w:jc w:val="both"/>
      </w:pPr>
    </w:p>
    <w:p w:rsidRPr="00E73059" w:rsidR="009806DD" w:rsidP="00760E95" w:rsidRDefault="009806DD">
      <w:pPr>
        <w:jc w:val="both"/>
      </w:pPr>
    </w:p>
    <w:p w:rsidRPr="00E73059" w:rsidR="009806DD" w:rsidP="00760E95" w:rsidRDefault="009806DD">
      <w:pPr>
        <w:jc w:val="both"/>
      </w:pPr>
    </w:p>
    <w:p w:rsidRPr="00E73059" w:rsidR="009806DD" w:rsidP="00760E95" w:rsidRDefault="009806DD">
      <w:pPr>
        <w:jc w:val="both"/>
      </w:pPr>
    </w:p>
    <w:p w:rsidR="009806DD" w:rsidP="00760E95" w:rsidRDefault="009806DD">
      <w:pPr>
        <w:jc w:val="both"/>
      </w:pPr>
      <w:r w:rsidRPr="00E73059">
        <w:t>v/ Filip M. Sundram</w:t>
      </w:r>
    </w:p>
    <w:p w:rsidR="00D32535" w:rsidP="00760E95" w:rsidRDefault="00D32535">
      <w:pPr>
        <w:jc w:val="both"/>
      </w:pPr>
    </w:p>
    <w:p w:rsidR="00D32535" w:rsidP="00760E95" w:rsidRDefault="00D32535">
      <w:pPr>
        <w:jc w:val="both"/>
      </w:pPr>
    </w:p>
    <w:p w:rsidR="00D32535" w:rsidP="00760E95" w:rsidRDefault="00D32535">
      <w:pPr>
        <w:jc w:val="both"/>
      </w:pPr>
    </w:p>
    <w:p w:rsidR="00D32535" w:rsidP="00760E95" w:rsidRDefault="00D32535">
      <w:pPr>
        <w:jc w:val="both"/>
      </w:pPr>
    </w:p>
    <w:p w:rsidR="00D32535" w:rsidP="00760E95" w:rsidRDefault="00D32535">
      <w:pPr>
        <w:jc w:val="both"/>
      </w:pPr>
    </w:p>
    <w:p w:rsidR="00D32535" w:rsidP="00760E95" w:rsidRDefault="00D32535">
      <w:pPr>
        <w:jc w:val="both"/>
      </w:pPr>
    </w:p>
    <w:p w:rsidR="000769CC" w:rsidRDefault="000769CC">
      <w:pPr>
        <w:spacing w:line="240" w:lineRule="auto"/>
      </w:pPr>
      <w:r>
        <w:rPr>
          <w:b/>
        </w:rPr>
        <w:br w:type="page"/>
      </w:r>
    </w:p>
    <w:p w:rsidRPr="008A7EA7" w:rsidR="00D32535" w:rsidP="00760E95" w:rsidRDefault="00D32535">
      <w:pPr>
        <w:pStyle w:val="Overskrift1"/>
        <w:jc w:val="both"/>
        <w:rPr>
          <w:sz w:val="28"/>
          <w:szCs w:val="28"/>
        </w:rPr>
      </w:pPr>
      <w:r>
        <w:rPr>
          <w:sz w:val="28"/>
          <w:szCs w:val="28"/>
        </w:rPr>
        <w:lastRenderedPageBreak/>
        <w:t>Uddrag af r</w:t>
      </w:r>
      <w:r w:rsidRPr="008A7EA7">
        <w:rPr>
          <w:sz w:val="28"/>
          <w:szCs w:val="28"/>
        </w:rPr>
        <w:t>eglerne</w:t>
      </w:r>
    </w:p>
    <w:p w:rsidRPr="008A7EA7" w:rsidR="00D32535" w:rsidP="00760E95" w:rsidRDefault="00D32535">
      <w:pPr>
        <w:pStyle w:val="Overskrift1"/>
        <w:jc w:val="both"/>
        <w:rPr>
          <w:sz w:val="28"/>
          <w:szCs w:val="28"/>
        </w:rPr>
      </w:pPr>
    </w:p>
    <w:p w:rsidR="00D32535" w:rsidP="00760E95" w:rsidRDefault="00D32535">
      <w:pPr>
        <w:jc w:val="both"/>
      </w:pPr>
      <w:r>
        <w:t>Forsyningssekretariatet fastsætter prislofter fo</w:t>
      </w:r>
      <w:r w:rsidR="005F42F2">
        <w:t>r vand- og spildevandsse</w:t>
      </w:r>
      <w:r w:rsidR="005F42F2">
        <w:t>l</w:t>
      </w:r>
      <w:r w:rsidR="005F42F2">
        <w:t>skaber</w:t>
      </w:r>
      <w:r>
        <w:t>, der er omfattet af lov nr. 469 af 12. juni 2009 om vandsektorens organisering og økonomiske forhold (vandsektorloven) med senere æ</w:t>
      </w:r>
      <w:r>
        <w:t>n</w:t>
      </w:r>
      <w:r>
        <w:t xml:space="preserve">dringer. Afgørelsen er således truffet i medfør af vandsektorlovens § 6, stk. 2. </w:t>
      </w:r>
    </w:p>
    <w:p w:rsidR="00D32535" w:rsidP="00760E95" w:rsidRDefault="00D32535">
      <w:pPr>
        <w:jc w:val="both"/>
      </w:pPr>
    </w:p>
    <w:p w:rsidR="00D63B2B" w:rsidP="00760E95" w:rsidRDefault="00D63B2B">
      <w:pPr>
        <w:jc w:val="both"/>
      </w:pPr>
      <w:r>
        <w:t>Der er</w:t>
      </w:r>
      <w:r w:rsidR="00622465">
        <w:t xml:space="preserve"> fastsat nærmere regler om</w:t>
      </w:r>
      <w:r>
        <w:t xml:space="preserve"> pri</w:t>
      </w:r>
      <w:r w:rsidR="00FC13F3">
        <w:t>slofter</w:t>
      </w:r>
      <w:r w:rsidR="00622465">
        <w:t>ne</w:t>
      </w:r>
      <w:r w:rsidR="00FC13F3">
        <w:t xml:space="preserve"> i bekendtgørelse nr. 122</w:t>
      </w:r>
      <w:r>
        <w:t xml:space="preserve"> af 8. februar 2013 om prisloftregulering mv. af vandsektoren (prisloft-bekendtgørelsen). </w:t>
      </w:r>
    </w:p>
    <w:p w:rsidR="00D63B2B" w:rsidP="00760E95" w:rsidRDefault="00D63B2B">
      <w:pPr>
        <w:jc w:val="both"/>
      </w:pPr>
    </w:p>
    <w:p w:rsidR="00D32535" w:rsidP="00760E95" w:rsidRDefault="00D32535">
      <w:pPr>
        <w:jc w:val="both"/>
      </w:pPr>
      <w:r w:rsidRPr="00D45D70">
        <w:t>Ifølge prisloftbekendtgørelsens § 5, stk. 1, fastsættes driftsomkostninge</w:t>
      </w:r>
      <w:r w:rsidRPr="00D45D70">
        <w:t>r</w:t>
      </w:r>
      <w:r w:rsidR="00802001">
        <w:t>ne i</w:t>
      </w:r>
      <w:r w:rsidR="00622465">
        <w:t xml:space="preserve"> prisloftet for 2015</w:t>
      </w:r>
      <w:r w:rsidRPr="00D45D70">
        <w:t xml:space="preserve"> som driftsomkostningerne i prisloftet for </w:t>
      </w:r>
      <w:r w:rsidR="00802001">
        <w:t xml:space="preserve">2014 </w:t>
      </w:r>
      <w:r w:rsidRPr="00D45D70">
        <w:t>korrigeret for effektiviseringskrav</w:t>
      </w:r>
      <w:r w:rsidR="00802001">
        <w:t xml:space="preserve"> og</w:t>
      </w:r>
      <w:r w:rsidR="00622465">
        <w:t xml:space="preserve"> prisudvikling</w:t>
      </w:r>
      <w:r w:rsidR="00802001">
        <w:t>, jf. § 32.</w:t>
      </w:r>
    </w:p>
    <w:p w:rsidR="00D32535" w:rsidP="00760E95" w:rsidRDefault="00D32535">
      <w:pPr>
        <w:jc w:val="both"/>
      </w:pPr>
    </w:p>
    <w:p w:rsidR="00D32535" w:rsidP="00760E95" w:rsidRDefault="00D32535">
      <w:pPr>
        <w:jc w:val="both"/>
      </w:pPr>
      <w:r w:rsidRPr="00D45D70">
        <w:t xml:space="preserve">Herefter korrigeres for afvikling af </w:t>
      </w:r>
      <w:r>
        <w:t xml:space="preserve">selskabets </w:t>
      </w:r>
      <w:r w:rsidRPr="00D45D70">
        <w:t xml:space="preserve">over- eller underdækning og tillæg af forventede 1:1 omkostninger, forventede driftsomkostninger til miljø- og servicemål, forventede nettofinansielle poster, tillæg for planlagte investeringer, tillæg for gennemførte investeringer, tillæg for historiske investeringer, forventet bortfald af væsentlige omkostninger </w:t>
      </w:r>
      <w:r w:rsidR="00802001">
        <w:t>siden 2003-2005</w:t>
      </w:r>
      <w:r w:rsidRPr="00D45D70">
        <w:t>, samt fradrag af et generelt og et individuelt effektivis</w:t>
      </w:r>
      <w:r w:rsidRPr="00D45D70">
        <w:t>e</w:t>
      </w:r>
      <w:r w:rsidRPr="00D45D70">
        <w:t>ringskrav.</w:t>
      </w:r>
    </w:p>
    <w:p w:rsidRPr="00D45D70" w:rsidR="006F3BA0" w:rsidP="00760E95" w:rsidRDefault="006F3BA0">
      <w:pPr>
        <w:jc w:val="both"/>
      </w:pPr>
    </w:p>
    <w:p w:rsidR="00D32535" w:rsidP="00760E95" w:rsidRDefault="00D32535">
      <w:pPr>
        <w:jc w:val="both"/>
      </w:pPr>
      <w:r>
        <w:t>Endvidere skal der i henhold til bekendtgørelsens § 5, stk. 2,</w:t>
      </w:r>
      <w:r w:rsidRPr="00D45D70">
        <w:t xml:space="preserve"> korrigeres for en årlig engangsregulering som følge af forskelle mellem tidligere indregnede forventede afskrivninger fra investeringsplanen og faktiske beløb fra investeringsregnskabet for det år, der ligger to år forud for pri</w:t>
      </w:r>
      <w:r w:rsidRPr="00D45D70">
        <w:t>s</w:t>
      </w:r>
      <w:r w:rsidRPr="00D45D70">
        <w:t xml:space="preserve">loftåret. </w:t>
      </w:r>
    </w:p>
    <w:p w:rsidR="00D32535" w:rsidP="00760E95" w:rsidRDefault="00D32535">
      <w:pPr>
        <w:jc w:val="both"/>
      </w:pPr>
    </w:p>
    <w:p w:rsidR="002F1BCE" w:rsidP="002F1BCE" w:rsidRDefault="00802001">
      <w:pPr>
        <w:jc w:val="both"/>
      </w:pPr>
      <w:r>
        <w:t>Desuden foretages en</w:t>
      </w:r>
      <w:r w:rsidRPr="00D45D70" w:rsidR="00D32535">
        <w:t xml:space="preserve"> årlig engangsregulering for forskellen mellem se</w:t>
      </w:r>
      <w:r w:rsidRPr="00D45D70" w:rsidR="00D32535">
        <w:t>l</w:t>
      </w:r>
      <w:r w:rsidRPr="00D45D70" w:rsidR="00D32535">
        <w:t xml:space="preserve">skabets faktiske indtægter og indtægtsrammen, jf. § 6, i det år, der ligger to år forud for prisloftåret. </w:t>
      </w:r>
      <w:r w:rsidR="002F1BCE">
        <w:t xml:space="preserve">I prisloftbekendtgørelsens § 6, stk. 1, fremgår nærmere regler om, hvilke beløb, der tilsammen ikke må overstige den maksimale ramme for et vandselskabs primære indtægter. Det er denne bestemmelse, der definerer, hvorledes korrektionen for overholdelsen af indtægtsrammen i foregående prisloft skal ske. </w:t>
      </w:r>
    </w:p>
    <w:p w:rsidR="002F1BCE" w:rsidP="00760E95" w:rsidRDefault="002F1BCE">
      <w:pPr>
        <w:jc w:val="both"/>
      </w:pPr>
    </w:p>
    <w:p w:rsidRPr="00D45D70" w:rsidR="00D32535" w:rsidP="00760E95" w:rsidRDefault="00D32535">
      <w:pPr>
        <w:jc w:val="both"/>
      </w:pPr>
      <w:r w:rsidRPr="00D45D70">
        <w:t>Endvidere korrigeres i prisloftet for forskellen mellem tidligere indre</w:t>
      </w:r>
      <w:r w:rsidRPr="00D45D70">
        <w:t>g</w:t>
      </w:r>
      <w:r w:rsidRPr="00D45D70">
        <w:t>nede forventede beløb for driftsomkostninger til opnåelse af miljø- og servicemål, 1:1 omkostninger samt nettofinansielle poster og de faktiske beløb i henhold til reguleringsregnskabet for året to år forud for prisloft</w:t>
      </w:r>
      <w:r w:rsidRPr="00D45D70">
        <w:t>s</w:t>
      </w:r>
      <w:r w:rsidRPr="00D45D70">
        <w:t>året, jf. dog § 9, stk. 2, og § 13. Endelig korrigeres for forskellen mellem tidligere indregnede forventede beløb til øgede driftsomkostninger, jf. § 8, stk. 2 og 3, og de faktiske afholdte udgifter, jf. § 2</w:t>
      </w:r>
      <w:r>
        <w:t>5, jf. prisloftb</w:t>
      </w:r>
      <w:r>
        <w:t>e</w:t>
      </w:r>
      <w:r>
        <w:t>kendtgørelsens § 5, stk. 2.</w:t>
      </w:r>
    </w:p>
    <w:p w:rsidR="00D32535" w:rsidP="00760E95" w:rsidRDefault="00D32535">
      <w:pPr>
        <w:jc w:val="both"/>
        <w:rPr>
          <w:color w:val="FF0000"/>
        </w:rPr>
      </w:pPr>
    </w:p>
    <w:p w:rsidRPr="002324C8" w:rsidR="00D32535" w:rsidP="00760E95" w:rsidRDefault="00D32535">
      <w:pPr>
        <w:jc w:val="both"/>
      </w:pPr>
      <w:r w:rsidRPr="002324C8">
        <w:lastRenderedPageBreak/>
        <w:t>Ved fastsættelsen af prisloftet kan kun indregnes relevante udgifter, o</w:t>
      </w:r>
      <w:r w:rsidRPr="002324C8">
        <w:t>m</w:t>
      </w:r>
      <w:r w:rsidRPr="002324C8">
        <w:t xml:space="preserve">kostninger og indtægter fra aktiviteter omfattet af § 1, stk. 2, jf. </w:t>
      </w:r>
      <w:r w:rsidR="00FC13F3">
        <w:t>§ 5, stk. 4</w:t>
      </w:r>
      <w:r>
        <w:t>.</w:t>
      </w:r>
    </w:p>
    <w:p w:rsidRPr="0064024A" w:rsidR="00D32535" w:rsidP="00760E95" w:rsidRDefault="00D32535">
      <w:pPr>
        <w:jc w:val="both"/>
        <w:rPr>
          <w:color w:val="FF0000"/>
        </w:rPr>
      </w:pPr>
    </w:p>
    <w:p w:rsidRPr="002324C8" w:rsidR="00D32535" w:rsidP="00760E95" w:rsidRDefault="00D32535">
      <w:pPr>
        <w:jc w:val="both"/>
      </w:pPr>
      <w:r w:rsidRPr="002324C8">
        <w:t>Det fremkomne beløb udgør selskabets indtægtsramme, som til sidst d</w:t>
      </w:r>
      <w:r w:rsidRPr="002324C8">
        <w:t>i</w:t>
      </w:r>
      <w:r w:rsidRPr="002324C8">
        <w:t xml:space="preserve">videres med </w:t>
      </w:r>
      <w:r w:rsidR="00802001">
        <w:t>den debiterede vandmængde i 2013</w:t>
      </w:r>
      <w:r w:rsidRPr="002324C8">
        <w:t xml:space="preserve"> for at få selskabets pri</w:t>
      </w:r>
      <w:r w:rsidRPr="002324C8">
        <w:t>s</w:t>
      </w:r>
      <w:r w:rsidRPr="002324C8">
        <w:t>loft for 201</w:t>
      </w:r>
      <w:r w:rsidR="00802001">
        <w:t>5</w:t>
      </w:r>
      <w:r w:rsidRPr="002324C8">
        <w:t xml:space="preserve"> opgjort i kr. pr. m</w:t>
      </w:r>
      <w:r w:rsidRPr="002324C8">
        <w:rPr>
          <w:vertAlign w:val="superscript"/>
        </w:rPr>
        <w:t>3</w:t>
      </w:r>
      <w:r w:rsidR="0006461D">
        <w:t>, jf.</w:t>
      </w:r>
      <w:r w:rsidR="00FC13F3">
        <w:t xml:space="preserve"> § 5, stk. 5</w:t>
      </w:r>
      <w:r w:rsidRPr="002324C8">
        <w:t xml:space="preserve">. </w:t>
      </w:r>
    </w:p>
    <w:p w:rsidR="00D32535" w:rsidP="00760E95" w:rsidRDefault="00D32535">
      <w:pPr>
        <w:jc w:val="both"/>
      </w:pPr>
    </w:p>
    <w:p w:rsidR="004563CB" w:rsidP="00760E95" w:rsidRDefault="004563CB">
      <w:pPr>
        <w:jc w:val="both"/>
      </w:pPr>
      <w:r>
        <w:t xml:space="preserve">Af § 6, stk. 2, fremgår nærmere om muligheden for at få en for </w:t>
      </w:r>
      <w:r w:rsidR="00DA3FDB">
        <w:t>s</w:t>
      </w:r>
      <w:r>
        <w:t>elsk</w:t>
      </w:r>
      <w:r>
        <w:t>a</w:t>
      </w:r>
      <w:r>
        <w:t>bets indtægtsramme betydelig indtægt indregnet i prisloftet. Dette kan i særlige tilfælde ske over en periode på op til 5 år, gældende fra det fø</w:t>
      </w:r>
      <w:r>
        <w:t>l</w:t>
      </w:r>
      <w:r>
        <w:t xml:space="preserve">gende års prisloft. </w:t>
      </w:r>
    </w:p>
    <w:p w:rsidR="004563CB" w:rsidP="00760E95" w:rsidRDefault="004563CB">
      <w:pPr>
        <w:jc w:val="both"/>
      </w:pPr>
    </w:p>
    <w:p w:rsidR="006933EF" w:rsidP="00760E95" w:rsidRDefault="00313EAE">
      <w:pPr>
        <w:jc w:val="both"/>
      </w:pPr>
      <w:r>
        <w:t xml:space="preserve">For uddybning </w:t>
      </w:r>
      <w:r w:rsidR="004563CB">
        <w:t>af ovenstående</w:t>
      </w:r>
      <w:r>
        <w:t xml:space="preserve"> henvises til Forsyningssekretariatets ve</w:t>
      </w:r>
      <w:r>
        <w:t>j</w:t>
      </w:r>
      <w:r>
        <w:t>ledning</w:t>
      </w:r>
      <w:r w:rsidR="00AC621E">
        <w:t>er om prisloftet og benchmarkingen</w:t>
      </w:r>
      <w:r>
        <w:t xml:space="preserve"> </w:t>
      </w:r>
      <w:r w:rsidR="00AC621E">
        <w:t xml:space="preserve">i </w:t>
      </w:r>
      <w:r>
        <w:t xml:space="preserve">2015. </w:t>
      </w:r>
    </w:p>
    <w:p w:rsidR="00063C85" w:rsidP="00760E95" w:rsidRDefault="00063C85">
      <w:pPr>
        <w:jc w:val="both"/>
      </w:pPr>
    </w:p>
    <w:p w:rsidR="00063C85" w:rsidP="00760E95" w:rsidRDefault="00063C85">
      <w:pPr>
        <w:jc w:val="both"/>
      </w:pPr>
      <w:r>
        <w:t>Vandselskaberne skal efter prisloftbekendtgørelsens § 18, stk. 1, senest den 15. april hvert år indsende de nødvendige oplysninger til brug for Forsyningssekretariatets fastsættelse af prisloftet for det efterfølgende år.</w:t>
      </w:r>
      <w:r w:rsidR="0006461D">
        <w:t xml:space="preserve"> </w:t>
      </w:r>
      <w:r>
        <w:t>Forsyningssekretariatet fastsætter i den forbindelse hvilke oplysninger og data</w:t>
      </w:r>
      <w:r w:rsidR="00DE16A3">
        <w:t>, der er nødvendige, jf.</w:t>
      </w:r>
      <w:r>
        <w:t xml:space="preserve"> § 18, stk. 2.</w:t>
      </w:r>
    </w:p>
    <w:p w:rsidR="00063C85" w:rsidP="00760E95" w:rsidRDefault="00063C85">
      <w:pPr>
        <w:jc w:val="both"/>
      </w:pPr>
    </w:p>
    <w:p w:rsidR="00063C85" w:rsidP="00760E95" w:rsidRDefault="00063C85">
      <w:pPr>
        <w:jc w:val="both"/>
      </w:pPr>
      <w:r>
        <w:t xml:space="preserve">Hvis et vandselskab ikke indsender de fornødne oplysninger til </w:t>
      </w:r>
      <w:r w:rsidRPr="00EA41B5">
        <w:t>Fors</w:t>
      </w:r>
      <w:r w:rsidRPr="00EA41B5">
        <w:t>y</w:t>
      </w:r>
      <w:r w:rsidRPr="00EA41B5">
        <w:t>ningssekretariatet</w:t>
      </w:r>
      <w:r>
        <w:t xml:space="preserve"> til brug for fastsættelse af prisloftet, kan </w:t>
      </w:r>
      <w:r w:rsidRPr="00EA41B5">
        <w:t>Forsyningss</w:t>
      </w:r>
      <w:r w:rsidRPr="00EA41B5">
        <w:t>e</w:t>
      </w:r>
      <w:r w:rsidRPr="00EA41B5">
        <w:t>kretariatet</w:t>
      </w:r>
      <w:r w:rsidR="0006461D">
        <w:t xml:space="preserve"> i henhold til </w:t>
      </w:r>
      <w:r>
        <w:t>§ 7 skønsmæssigt fastsætte de manglende oply</w:t>
      </w:r>
      <w:r>
        <w:t>s</w:t>
      </w:r>
      <w:r>
        <w:t xml:space="preserve">ninger. </w:t>
      </w:r>
    </w:p>
    <w:p w:rsidR="00063C85" w:rsidP="00760E95" w:rsidRDefault="00063C85">
      <w:pPr>
        <w:jc w:val="both"/>
      </w:pPr>
    </w:p>
    <w:p w:rsidR="00D32535" w:rsidP="00760E95" w:rsidRDefault="00D32535">
      <w:pPr>
        <w:jc w:val="both"/>
      </w:pPr>
      <w:r>
        <w:t>Forsyningssekretariatet skal senest den 15. september hvert år sende u</w:t>
      </w:r>
      <w:r>
        <w:t>d</w:t>
      </w:r>
      <w:r>
        <w:t>kastet til vandselskabets prisloft for det følgende år i høring hos vandse</w:t>
      </w:r>
      <w:r>
        <w:t>l</w:t>
      </w:r>
      <w:r>
        <w:t>skabet. Høring</w:t>
      </w:r>
      <w:r w:rsidR="002C014C">
        <w:t xml:space="preserve">sfristen er 2 uger, jf. </w:t>
      </w:r>
      <w:r>
        <w:t xml:space="preserve">bekendtgørelsens § 19, stk. 1. </w:t>
      </w:r>
      <w:r w:rsidR="0006461D">
        <w:t>F</w:t>
      </w:r>
      <w:r>
        <w:t>ors</w:t>
      </w:r>
      <w:r>
        <w:t>y</w:t>
      </w:r>
      <w:r>
        <w:t>ningssekretariatet skal senest den 15. oktober hvert år træffe afgørelse om vandselskab</w:t>
      </w:r>
      <w:r w:rsidR="002C014C">
        <w:t>et</w:t>
      </w:r>
      <w:r>
        <w:t>s</w:t>
      </w:r>
      <w:r w:rsidR="002C014C">
        <w:t xml:space="preserve"> </w:t>
      </w:r>
      <w:r>
        <w:t xml:space="preserve">prisloft for det følgende år, jf. § 19, stk. 2. </w:t>
      </w:r>
    </w:p>
    <w:p w:rsidR="00063C85" w:rsidP="00760E95" w:rsidRDefault="00063C85">
      <w:pPr>
        <w:jc w:val="both"/>
      </w:pPr>
    </w:p>
    <w:p w:rsidR="00063C85" w:rsidP="00760E95" w:rsidRDefault="00063C85">
      <w:pPr>
        <w:jc w:val="both"/>
      </w:pPr>
    </w:p>
    <w:p w:rsidR="00D32535" w:rsidP="00760E95" w:rsidRDefault="00D32535">
      <w:pPr>
        <w:jc w:val="both"/>
      </w:pPr>
    </w:p>
    <w:sectPr w:rsidR="00D32535">
      <w:headerReference w:type="even" r:id="rId10"/>
      <w:headerReference w:type="default" r:id="rId11"/>
      <w:headerReference w:type="first" r:id="rId12"/>
      <w:pgSz w:w="11906" w:h="16838" w:code="9"/>
      <w:pgMar w:top="2155" w:right="3742" w:bottom="794" w:left="1106" w:header="624" w:footer="567" w:gutter="0"/>
      <w:paperSrc w:first="2" w:other="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137" w:rsidRDefault="00B66137">
      <w:r>
        <w:separator/>
      </w:r>
    </w:p>
  </w:endnote>
  <w:endnote w:type="continuationSeparator" w:id="0">
    <w:p w:rsidR="00B66137" w:rsidRDefault="00B6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137" w:rsidRDefault="00B66137">
      <w:r>
        <w:separator/>
      </w:r>
    </w:p>
  </w:footnote>
  <w:footnote w:type="continuationSeparator" w:id="0">
    <w:p w:rsidR="00B66137" w:rsidRDefault="00B66137">
      <w:r>
        <w:continuationSeparator/>
      </w:r>
    </w:p>
  </w:footnote>
  <w:footnote w:id="1">
    <w:p w:rsidR="00934710" w:rsidRDefault="00934710">
      <w:pPr>
        <w:pStyle w:val="Fodnotetekst"/>
      </w:pPr>
      <w:r>
        <w:rPr>
          <w:rStyle w:val="Fodnotehenvisning"/>
        </w:rPr>
        <w:footnoteRef/>
      </w:r>
      <w:r>
        <w:t xml:space="preserve"> </w:t>
      </w:r>
      <w:hyperlink r:id="rId1" w:history="1">
        <w:r w:rsidRPr="00203F06">
          <w:rPr>
            <w:rStyle w:val="Hyperlink"/>
          </w:rPr>
          <w:t>http://www.kfst.dk/Vandtilsyn/Benchmarking/Benchmarking-2015</w:t>
        </w:r>
      </w:hyperlink>
    </w:p>
    <w:p w:rsidR="00934710" w:rsidRDefault="00934710">
      <w:pPr>
        <w:pStyle w:val="Fodnotetekst"/>
      </w:pPr>
    </w:p>
  </w:footnote>
  <w:footnote w:id="2">
    <w:p w:rsidR="00B66137" w:rsidRDefault="00B66137">
      <w:pPr>
        <w:pStyle w:val="Fodnotetekst"/>
      </w:pPr>
      <w:r>
        <w:rPr>
          <w:rStyle w:val="Fodnotehenvisning"/>
        </w:rPr>
        <w:footnoteRef/>
      </w:r>
      <w:r>
        <w:t xml:space="preserve"> </w:t>
      </w:r>
      <w:hyperlink r:id="rId2" w:history="1">
        <w:r w:rsidR="00934710" w:rsidRPr="00203F06">
          <w:rPr>
            <w:rStyle w:val="Hyperlink"/>
          </w:rPr>
          <w:t>http://www.kfst.dk/Vandtilsyn/Benchmarking/Benchmarking-2015</w:t>
        </w:r>
      </w:hyperlink>
    </w:p>
    <w:p w:rsidR="00934710" w:rsidRDefault="00934710">
      <w:pPr>
        <w:pStyle w:val="Fodnotetekst"/>
      </w:pPr>
    </w:p>
  </w:footnote>
  <w:footnote w:id="3">
    <w:p w:rsidR="003317A6" w:rsidRDefault="003317A6">
      <w:pPr>
        <w:pStyle w:val="Fodnotetekst"/>
      </w:pPr>
      <w:r>
        <w:rPr>
          <w:rStyle w:val="Fodnotehenvisning"/>
        </w:rPr>
        <w:footnoteRef/>
      </w:r>
      <w:r>
        <w:t xml:space="preserve"> </w:t>
      </w:r>
      <w:hyperlink r:id="rId3" w:history="1">
        <w:r w:rsidRPr="00203F06">
          <w:rPr>
            <w:rStyle w:val="Hyperlink"/>
          </w:rPr>
          <w:t>http://www.kfst.dk/Vandtilsyn/Benchmarking/Benchmarking-2015</w:t>
        </w:r>
      </w:hyperlink>
    </w:p>
  </w:footnote>
  <w:footnote w:id="4">
    <w:p w:rsidR="003317A6" w:rsidRDefault="003317A6">
      <w:pPr>
        <w:pStyle w:val="Fodnotetekst"/>
      </w:pPr>
      <w:r>
        <w:rPr>
          <w:rStyle w:val="Fodnotehenvisning"/>
        </w:rPr>
        <w:footnoteRef/>
      </w:r>
      <w:r>
        <w:t xml:space="preserve"> </w:t>
      </w:r>
      <w:hyperlink r:id="rId4" w:history="1">
        <w:r w:rsidRPr="00203F06">
          <w:rPr>
            <w:rStyle w:val="Hyperlink"/>
          </w:rPr>
          <w:t>http://www.kfst.dk/Vandtilsyn/Benchmarking/Benchmarking-2015</w:t>
        </w:r>
      </w:hyperlink>
    </w:p>
  </w:footnote>
  <w:footnote w:id="5">
    <w:p w:rsidR="00B66137" w:rsidRDefault="00B66137">
      <w:pPr>
        <w:pStyle w:val="Fodnotetekst"/>
      </w:pPr>
      <w:r>
        <w:rPr>
          <w:rStyle w:val="Fodnotehenvisning"/>
        </w:rPr>
        <w:footnoteRef/>
      </w:r>
      <w:r>
        <w:t xml:space="preserve"> </w:t>
      </w:r>
      <w:r w:rsidR="0027417A" w:rsidRPr="0027417A">
        <w:rPr>
          <w:sz w:val="18"/>
          <w:szCs w:val="18"/>
        </w:rPr>
        <w:t>Læs mere om</w:t>
      </w:r>
      <w:r w:rsidR="0027417A">
        <w:t xml:space="preserve"> </w:t>
      </w:r>
      <w:r w:rsidRPr="00B931A8">
        <w:rPr>
          <w:sz w:val="18"/>
          <w:szCs w:val="18"/>
        </w:rPr>
        <w:t>§ 6</w:t>
      </w:r>
      <w:r w:rsidR="0027417A">
        <w:rPr>
          <w:sz w:val="18"/>
          <w:szCs w:val="18"/>
        </w:rPr>
        <w:t xml:space="preserve"> og korrektionen</w:t>
      </w:r>
      <w:r w:rsidRPr="00B931A8">
        <w:rPr>
          <w:sz w:val="18"/>
          <w:szCs w:val="18"/>
        </w:rPr>
        <w:t xml:space="preserve"> her</w:t>
      </w:r>
      <w:r w:rsidR="00B931A8">
        <w:rPr>
          <w:sz w:val="18"/>
          <w:szCs w:val="18"/>
        </w:rPr>
        <w:t>:</w:t>
      </w:r>
      <w:r w:rsidRPr="00B931A8">
        <w:rPr>
          <w:sz w:val="18"/>
          <w:szCs w:val="18"/>
        </w:rPr>
        <w:t xml:space="preserve"> </w:t>
      </w:r>
      <w:hyperlink r:id="rId5" w:history="1">
        <w:r w:rsidR="0027417A">
          <w:rPr>
            <w:rStyle w:val="Hyperlink"/>
            <w:sz w:val="18"/>
            <w:szCs w:val="18"/>
          </w:rPr>
          <w:t>Forsyningssekretariatets vejledning om prisloft 2015</w:t>
        </w:r>
      </w:hyperlink>
    </w:p>
    <w:p w:rsidR="00B66137" w:rsidRDefault="00B66137">
      <w:pPr>
        <w:pStyle w:val="Fodnote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137" w:rsidRDefault="00B66137">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137" w:rsidRDefault="00B66137">
    <w:pPr>
      <w:framePr w:w="1531" w:h="851" w:wrap="around" w:vAnchor="page" w:hAnchor="page" w:x="9186" w:y="721"/>
    </w:pPr>
    <w:r>
      <w:rPr>
        <w:rStyle w:val="Sidetal"/>
      </w:rPr>
      <w:fldChar w:fldCharType="begin"/>
    </w:r>
    <w:r>
      <w:rPr>
        <w:rStyle w:val="Sidetal"/>
      </w:rPr>
      <w:instrText xml:space="preserve"> PAGE </w:instrText>
    </w:r>
    <w:r>
      <w:rPr>
        <w:rStyle w:val="Sidetal"/>
      </w:rPr>
      <w:fldChar w:fldCharType="separate"/>
    </w:r>
    <w:r w:rsidR="00BD441B">
      <w:rPr>
        <w:rStyle w:val="Sidetal"/>
        <w:noProof/>
      </w:rPr>
      <w:t>13</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BD441B">
      <w:rPr>
        <w:rStyle w:val="Sidetal"/>
        <w:noProof/>
      </w:rPr>
      <w:t>13</w:t>
    </w:r>
    <w:r>
      <w:rPr>
        <w:rStyle w:val="Sidetal"/>
      </w:rPr>
      <w:fldChar w:fldCharType="end"/>
    </w:r>
  </w:p>
  <w:p w:rsidR="00B66137" w:rsidRDefault="00B66137">
    <w:pPr>
      <w:framePr w:w="1531" w:h="851" w:wrap="around" w:vAnchor="page" w:hAnchor="page" w:x="9186" w:y="721"/>
    </w:pPr>
  </w:p>
  <w:p w:rsidR="00B66137" w:rsidRDefault="00B66137">
    <w:pPr>
      <w:framePr w:w="1531" w:h="851" w:wrap="around" w:vAnchor="page" w:hAnchor="page" w:x="9186" w:y="721"/>
    </w:pPr>
  </w:p>
  <w:p w:rsidR="00B66137" w:rsidRDefault="00B66137">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137" w:rsidRPr="00326491" w:rsidRDefault="00B66137">
    <w:pPr>
      <w:pStyle w:val="Sidehoved"/>
    </w:pPr>
    <w:r>
      <w:rPr>
        <w:noProof/>
      </w:rPr>
      <w:drawing>
        <wp:anchor distT="0" distB="0" distL="114300" distR="114300" simplePos="0" relativeHeight="251656192" behindDoc="0" locked="0" layoutInCell="1" allowOverlap="1">
          <wp:simplePos x="0" y="0"/>
          <wp:positionH relativeFrom="column">
            <wp:posOffset>1520825</wp:posOffset>
          </wp:positionH>
          <wp:positionV relativeFrom="paragraph">
            <wp:posOffset>-165100</wp:posOffset>
          </wp:positionV>
          <wp:extent cx="2788920" cy="548005"/>
          <wp:effectExtent l="0" t="0" r="0" b="4445"/>
          <wp:wrapTopAndBottom/>
          <wp:docPr id="3" name="Billede 3" descr="KoFstyrels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Fstyrelse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8920" cy="548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56D8"/>
    <w:multiLevelType w:val="multilevel"/>
    <w:tmpl w:val="98AEDA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890D8E"/>
    <w:multiLevelType w:val="hybridMultilevel"/>
    <w:tmpl w:val="42E259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0FD6C76"/>
    <w:multiLevelType w:val="hybridMultilevel"/>
    <w:tmpl w:val="6E32EAAE"/>
    <w:lvl w:ilvl="0" w:tplc="0AD28F90">
      <w:start w:val="1"/>
      <w:numFmt w:val="bullet"/>
      <w:lvlText w:val=""/>
      <w:lvlJc w:val="left"/>
      <w:pPr>
        <w:tabs>
          <w:tab w:val="num" w:pos="567"/>
        </w:tabs>
        <w:ind w:left="567" w:hanging="454"/>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148B4C21"/>
    <w:multiLevelType w:val="hybridMultilevel"/>
    <w:tmpl w:val="887A2F58"/>
    <w:lvl w:ilvl="0" w:tplc="04060011">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nsid w:val="172B709C"/>
    <w:multiLevelType w:val="hybridMultilevel"/>
    <w:tmpl w:val="AA04C592"/>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
    <w:nsid w:val="18B22968"/>
    <w:multiLevelType w:val="hybridMultilevel"/>
    <w:tmpl w:val="4DAAC974"/>
    <w:lvl w:ilvl="0" w:tplc="52D2BFF8">
      <w:start w:val="1"/>
      <w:numFmt w:val="bullet"/>
      <w:lvlText w:val=""/>
      <w:lvlJc w:val="left"/>
      <w:pPr>
        <w:tabs>
          <w:tab w:val="num" w:pos="833"/>
        </w:tabs>
        <w:ind w:left="833" w:hanging="360"/>
      </w:pPr>
      <w:rPr>
        <w:rFonts w:ascii="Symbol" w:hAnsi="Symbol" w:hint="default"/>
      </w:rPr>
    </w:lvl>
    <w:lvl w:ilvl="1" w:tplc="04060003" w:tentative="1">
      <w:start w:val="1"/>
      <w:numFmt w:val="bullet"/>
      <w:lvlText w:val="o"/>
      <w:lvlJc w:val="left"/>
      <w:pPr>
        <w:tabs>
          <w:tab w:val="num" w:pos="1553"/>
        </w:tabs>
        <w:ind w:left="1553" w:hanging="360"/>
      </w:pPr>
      <w:rPr>
        <w:rFonts w:ascii="Courier New" w:hAnsi="Courier New" w:cs="Courier New" w:hint="default"/>
      </w:rPr>
    </w:lvl>
    <w:lvl w:ilvl="2" w:tplc="04060005" w:tentative="1">
      <w:start w:val="1"/>
      <w:numFmt w:val="bullet"/>
      <w:lvlText w:val=""/>
      <w:lvlJc w:val="left"/>
      <w:pPr>
        <w:tabs>
          <w:tab w:val="num" w:pos="2273"/>
        </w:tabs>
        <w:ind w:left="2273" w:hanging="360"/>
      </w:pPr>
      <w:rPr>
        <w:rFonts w:ascii="Wingdings" w:hAnsi="Wingdings" w:hint="default"/>
      </w:rPr>
    </w:lvl>
    <w:lvl w:ilvl="3" w:tplc="04060001" w:tentative="1">
      <w:start w:val="1"/>
      <w:numFmt w:val="bullet"/>
      <w:lvlText w:val=""/>
      <w:lvlJc w:val="left"/>
      <w:pPr>
        <w:tabs>
          <w:tab w:val="num" w:pos="2993"/>
        </w:tabs>
        <w:ind w:left="2993" w:hanging="360"/>
      </w:pPr>
      <w:rPr>
        <w:rFonts w:ascii="Symbol" w:hAnsi="Symbol" w:hint="default"/>
      </w:rPr>
    </w:lvl>
    <w:lvl w:ilvl="4" w:tplc="04060003" w:tentative="1">
      <w:start w:val="1"/>
      <w:numFmt w:val="bullet"/>
      <w:lvlText w:val="o"/>
      <w:lvlJc w:val="left"/>
      <w:pPr>
        <w:tabs>
          <w:tab w:val="num" w:pos="3713"/>
        </w:tabs>
        <w:ind w:left="3713" w:hanging="360"/>
      </w:pPr>
      <w:rPr>
        <w:rFonts w:ascii="Courier New" w:hAnsi="Courier New" w:cs="Courier New" w:hint="default"/>
      </w:rPr>
    </w:lvl>
    <w:lvl w:ilvl="5" w:tplc="04060005" w:tentative="1">
      <w:start w:val="1"/>
      <w:numFmt w:val="bullet"/>
      <w:lvlText w:val=""/>
      <w:lvlJc w:val="left"/>
      <w:pPr>
        <w:tabs>
          <w:tab w:val="num" w:pos="4433"/>
        </w:tabs>
        <w:ind w:left="4433" w:hanging="360"/>
      </w:pPr>
      <w:rPr>
        <w:rFonts w:ascii="Wingdings" w:hAnsi="Wingdings" w:hint="default"/>
      </w:rPr>
    </w:lvl>
    <w:lvl w:ilvl="6" w:tplc="04060001" w:tentative="1">
      <w:start w:val="1"/>
      <w:numFmt w:val="bullet"/>
      <w:lvlText w:val=""/>
      <w:lvlJc w:val="left"/>
      <w:pPr>
        <w:tabs>
          <w:tab w:val="num" w:pos="5153"/>
        </w:tabs>
        <w:ind w:left="5153" w:hanging="360"/>
      </w:pPr>
      <w:rPr>
        <w:rFonts w:ascii="Symbol" w:hAnsi="Symbol" w:hint="default"/>
      </w:rPr>
    </w:lvl>
    <w:lvl w:ilvl="7" w:tplc="04060003" w:tentative="1">
      <w:start w:val="1"/>
      <w:numFmt w:val="bullet"/>
      <w:lvlText w:val="o"/>
      <w:lvlJc w:val="left"/>
      <w:pPr>
        <w:tabs>
          <w:tab w:val="num" w:pos="5873"/>
        </w:tabs>
        <w:ind w:left="5873" w:hanging="360"/>
      </w:pPr>
      <w:rPr>
        <w:rFonts w:ascii="Courier New" w:hAnsi="Courier New" w:cs="Courier New" w:hint="default"/>
      </w:rPr>
    </w:lvl>
    <w:lvl w:ilvl="8" w:tplc="04060005" w:tentative="1">
      <w:start w:val="1"/>
      <w:numFmt w:val="bullet"/>
      <w:lvlText w:val=""/>
      <w:lvlJc w:val="left"/>
      <w:pPr>
        <w:tabs>
          <w:tab w:val="num" w:pos="6593"/>
        </w:tabs>
        <w:ind w:left="6593" w:hanging="360"/>
      </w:pPr>
      <w:rPr>
        <w:rFonts w:ascii="Wingdings" w:hAnsi="Wingdings" w:hint="default"/>
      </w:rPr>
    </w:lvl>
  </w:abstractNum>
  <w:abstractNum w:abstractNumId="6">
    <w:nsid w:val="1CD55482"/>
    <w:multiLevelType w:val="hybridMultilevel"/>
    <w:tmpl w:val="7C6A7440"/>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7">
    <w:nsid w:val="208545F2"/>
    <w:multiLevelType w:val="hybridMultilevel"/>
    <w:tmpl w:val="1A64E11A"/>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nsid w:val="28766114"/>
    <w:multiLevelType w:val="hybridMultilevel"/>
    <w:tmpl w:val="F9C21A6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2BED56B6"/>
    <w:multiLevelType w:val="hybridMultilevel"/>
    <w:tmpl w:val="BD225D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2E523FB5"/>
    <w:multiLevelType w:val="hybridMultilevel"/>
    <w:tmpl w:val="976692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372E2337"/>
    <w:multiLevelType w:val="multilevel"/>
    <w:tmpl w:val="74F42A5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D9C3B43"/>
    <w:multiLevelType w:val="multilevel"/>
    <w:tmpl w:val="6E32EAAE"/>
    <w:lvl w:ilvl="0">
      <w:start w:val="1"/>
      <w:numFmt w:val="bullet"/>
      <w:lvlText w:val=""/>
      <w:lvlJc w:val="left"/>
      <w:pPr>
        <w:tabs>
          <w:tab w:val="num" w:pos="567"/>
        </w:tabs>
        <w:ind w:left="567"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DD9600A"/>
    <w:multiLevelType w:val="hybridMultilevel"/>
    <w:tmpl w:val="7408FB5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400F5053"/>
    <w:multiLevelType w:val="hybridMultilevel"/>
    <w:tmpl w:val="98AEDA80"/>
    <w:lvl w:ilvl="0" w:tplc="52D2BFF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nsid w:val="4D64399A"/>
    <w:multiLevelType w:val="hybridMultilevel"/>
    <w:tmpl w:val="F52642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4F152177"/>
    <w:multiLevelType w:val="hybridMultilevel"/>
    <w:tmpl w:val="00AAFBC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nsid w:val="51CF4998"/>
    <w:multiLevelType w:val="hybridMultilevel"/>
    <w:tmpl w:val="010EB9AC"/>
    <w:lvl w:ilvl="0" w:tplc="52D2BFF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nsid w:val="57842BAA"/>
    <w:multiLevelType w:val="singleLevel"/>
    <w:tmpl w:val="F70055E2"/>
    <w:lvl w:ilvl="0">
      <w:start w:val="1"/>
      <w:numFmt w:val="bullet"/>
      <w:lvlText w:val=""/>
      <w:lvlJc w:val="left"/>
      <w:pPr>
        <w:tabs>
          <w:tab w:val="num" w:pos="360"/>
        </w:tabs>
        <w:ind w:left="360" w:hanging="360"/>
      </w:pPr>
      <w:rPr>
        <w:rFonts w:ascii="Symbol" w:hAnsi="Symbol" w:hint="default"/>
      </w:rPr>
    </w:lvl>
  </w:abstractNum>
  <w:abstractNum w:abstractNumId="19">
    <w:nsid w:val="59794B76"/>
    <w:multiLevelType w:val="hybridMultilevel"/>
    <w:tmpl w:val="54BAB9D0"/>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nsid w:val="5A4972D3"/>
    <w:multiLevelType w:val="multilevel"/>
    <w:tmpl w:val="6E32EAAE"/>
    <w:lvl w:ilvl="0">
      <w:start w:val="1"/>
      <w:numFmt w:val="bullet"/>
      <w:lvlText w:val=""/>
      <w:lvlJc w:val="left"/>
      <w:pPr>
        <w:tabs>
          <w:tab w:val="num" w:pos="567"/>
        </w:tabs>
        <w:ind w:left="567"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41E2190"/>
    <w:multiLevelType w:val="multilevel"/>
    <w:tmpl w:val="74F42A5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66AD5737"/>
    <w:multiLevelType w:val="hybridMultilevel"/>
    <w:tmpl w:val="B5027F04"/>
    <w:lvl w:ilvl="0" w:tplc="04060011">
      <w:start w:val="1"/>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3">
    <w:nsid w:val="66B6301F"/>
    <w:multiLevelType w:val="hybridMultilevel"/>
    <w:tmpl w:val="8F7C247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nsid w:val="671268B0"/>
    <w:multiLevelType w:val="hybridMultilevel"/>
    <w:tmpl w:val="EE2EF7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671729D7"/>
    <w:multiLevelType w:val="hybridMultilevel"/>
    <w:tmpl w:val="875E9B4C"/>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6">
    <w:nsid w:val="67A573BA"/>
    <w:multiLevelType w:val="multilevel"/>
    <w:tmpl w:val="4DAAC974"/>
    <w:lvl w:ilvl="0">
      <w:start w:val="1"/>
      <w:numFmt w:val="bullet"/>
      <w:lvlText w:val=""/>
      <w:lvlJc w:val="left"/>
      <w:pPr>
        <w:tabs>
          <w:tab w:val="num" w:pos="833"/>
        </w:tabs>
        <w:ind w:left="833" w:hanging="360"/>
      </w:pPr>
      <w:rPr>
        <w:rFonts w:ascii="Symbol" w:hAnsi="Symbol" w:hint="default"/>
      </w:rPr>
    </w:lvl>
    <w:lvl w:ilvl="1">
      <w:start w:val="1"/>
      <w:numFmt w:val="bullet"/>
      <w:lvlText w:val="o"/>
      <w:lvlJc w:val="left"/>
      <w:pPr>
        <w:tabs>
          <w:tab w:val="num" w:pos="1553"/>
        </w:tabs>
        <w:ind w:left="1553" w:hanging="360"/>
      </w:pPr>
      <w:rPr>
        <w:rFonts w:ascii="Courier New" w:hAnsi="Courier New" w:cs="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cs="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cs="Courier New" w:hint="default"/>
      </w:rPr>
    </w:lvl>
    <w:lvl w:ilvl="8">
      <w:start w:val="1"/>
      <w:numFmt w:val="bullet"/>
      <w:lvlText w:val=""/>
      <w:lvlJc w:val="left"/>
      <w:pPr>
        <w:tabs>
          <w:tab w:val="num" w:pos="6593"/>
        </w:tabs>
        <w:ind w:left="6593" w:hanging="360"/>
      </w:pPr>
      <w:rPr>
        <w:rFonts w:ascii="Wingdings" w:hAnsi="Wingdings" w:hint="default"/>
      </w:rPr>
    </w:lvl>
  </w:abstractNum>
  <w:abstractNum w:abstractNumId="27">
    <w:nsid w:val="69E67987"/>
    <w:multiLevelType w:val="hybridMultilevel"/>
    <w:tmpl w:val="0BEE0B1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553"/>
        </w:tabs>
        <w:ind w:left="1553" w:hanging="360"/>
      </w:pPr>
      <w:rPr>
        <w:rFonts w:ascii="Courier New" w:hAnsi="Courier New" w:cs="Courier New" w:hint="default"/>
      </w:rPr>
    </w:lvl>
    <w:lvl w:ilvl="2" w:tplc="04060005" w:tentative="1">
      <w:start w:val="1"/>
      <w:numFmt w:val="bullet"/>
      <w:lvlText w:val=""/>
      <w:lvlJc w:val="left"/>
      <w:pPr>
        <w:tabs>
          <w:tab w:val="num" w:pos="2273"/>
        </w:tabs>
        <w:ind w:left="2273" w:hanging="360"/>
      </w:pPr>
      <w:rPr>
        <w:rFonts w:ascii="Wingdings" w:hAnsi="Wingdings" w:hint="default"/>
      </w:rPr>
    </w:lvl>
    <w:lvl w:ilvl="3" w:tplc="04060001" w:tentative="1">
      <w:start w:val="1"/>
      <w:numFmt w:val="bullet"/>
      <w:lvlText w:val=""/>
      <w:lvlJc w:val="left"/>
      <w:pPr>
        <w:tabs>
          <w:tab w:val="num" w:pos="2993"/>
        </w:tabs>
        <w:ind w:left="2993" w:hanging="360"/>
      </w:pPr>
      <w:rPr>
        <w:rFonts w:ascii="Symbol" w:hAnsi="Symbol" w:hint="default"/>
      </w:rPr>
    </w:lvl>
    <w:lvl w:ilvl="4" w:tplc="04060003" w:tentative="1">
      <w:start w:val="1"/>
      <w:numFmt w:val="bullet"/>
      <w:lvlText w:val="o"/>
      <w:lvlJc w:val="left"/>
      <w:pPr>
        <w:tabs>
          <w:tab w:val="num" w:pos="3713"/>
        </w:tabs>
        <w:ind w:left="3713" w:hanging="360"/>
      </w:pPr>
      <w:rPr>
        <w:rFonts w:ascii="Courier New" w:hAnsi="Courier New" w:cs="Courier New" w:hint="default"/>
      </w:rPr>
    </w:lvl>
    <w:lvl w:ilvl="5" w:tplc="04060005" w:tentative="1">
      <w:start w:val="1"/>
      <w:numFmt w:val="bullet"/>
      <w:lvlText w:val=""/>
      <w:lvlJc w:val="left"/>
      <w:pPr>
        <w:tabs>
          <w:tab w:val="num" w:pos="4433"/>
        </w:tabs>
        <w:ind w:left="4433" w:hanging="360"/>
      </w:pPr>
      <w:rPr>
        <w:rFonts w:ascii="Wingdings" w:hAnsi="Wingdings" w:hint="default"/>
      </w:rPr>
    </w:lvl>
    <w:lvl w:ilvl="6" w:tplc="04060001" w:tentative="1">
      <w:start w:val="1"/>
      <w:numFmt w:val="bullet"/>
      <w:lvlText w:val=""/>
      <w:lvlJc w:val="left"/>
      <w:pPr>
        <w:tabs>
          <w:tab w:val="num" w:pos="5153"/>
        </w:tabs>
        <w:ind w:left="5153" w:hanging="360"/>
      </w:pPr>
      <w:rPr>
        <w:rFonts w:ascii="Symbol" w:hAnsi="Symbol" w:hint="default"/>
      </w:rPr>
    </w:lvl>
    <w:lvl w:ilvl="7" w:tplc="04060003" w:tentative="1">
      <w:start w:val="1"/>
      <w:numFmt w:val="bullet"/>
      <w:lvlText w:val="o"/>
      <w:lvlJc w:val="left"/>
      <w:pPr>
        <w:tabs>
          <w:tab w:val="num" w:pos="5873"/>
        </w:tabs>
        <w:ind w:left="5873" w:hanging="360"/>
      </w:pPr>
      <w:rPr>
        <w:rFonts w:ascii="Courier New" w:hAnsi="Courier New" w:cs="Courier New" w:hint="default"/>
      </w:rPr>
    </w:lvl>
    <w:lvl w:ilvl="8" w:tplc="04060005" w:tentative="1">
      <w:start w:val="1"/>
      <w:numFmt w:val="bullet"/>
      <w:lvlText w:val=""/>
      <w:lvlJc w:val="left"/>
      <w:pPr>
        <w:tabs>
          <w:tab w:val="num" w:pos="6593"/>
        </w:tabs>
        <w:ind w:left="6593" w:hanging="360"/>
      </w:pPr>
      <w:rPr>
        <w:rFonts w:ascii="Wingdings" w:hAnsi="Wingdings" w:hint="default"/>
      </w:rPr>
    </w:lvl>
  </w:abstractNum>
  <w:abstractNum w:abstractNumId="28">
    <w:nsid w:val="771E7D73"/>
    <w:multiLevelType w:val="hybridMultilevel"/>
    <w:tmpl w:val="DCC29F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7A0312B0"/>
    <w:multiLevelType w:val="multilevel"/>
    <w:tmpl w:val="010EB9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F3C741E"/>
    <w:multiLevelType w:val="hybridMultilevel"/>
    <w:tmpl w:val="072461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5"/>
  </w:num>
  <w:num w:numId="6">
    <w:abstractNumId w:val="4"/>
  </w:num>
  <w:num w:numId="7">
    <w:abstractNumId w:val="16"/>
  </w:num>
  <w:num w:numId="8">
    <w:abstractNumId w:val="19"/>
  </w:num>
  <w:num w:numId="9">
    <w:abstractNumId w:val="2"/>
  </w:num>
  <w:num w:numId="10">
    <w:abstractNumId w:val="17"/>
  </w:num>
  <w:num w:numId="11">
    <w:abstractNumId w:val="29"/>
  </w:num>
  <w:num w:numId="12">
    <w:abstractNumId w:val="7"/>
  </w:num>
  <w:num w:numId="13">
    <w:abstractNumId w:val="14"/>
  </w:num>
  <w:num w:numId="14">
    <w:abstractNumId w:val="0"/>
  </w:num>
  <w:num w:numId="15">
    <w:abstractNumId w:val="23"/>
  </w:num>
  <w:num w:numId="16">
    <w:abstractNumId w:val="5"/>
  </w:num>
  <w:num w:numId="17">
    <w:abstractNumId w:val="26"/>
  </w:num>
  <w:num w:numId="18">
    <w:abstractNumId w:val="27"/>
  </w:num>
  <w:num w:numId="19">
    <w:abstractNumId w:val="20"/>
  </w:num>
  <w:num w:numId="20">
    <w:abstractNumId w:val="21"/>
  </w:num>
  <w:num w:numId="21">
    <w:abstractNumId w:val="12"/>
  </w:num>
  <w:num w:numId="22">
    <w:abstractNumId w:val="11"/>
  </w:num>
  <w:num w:numId="23">
    <w:abstractNumId w:val="3"/>
  </w:num>
  <w:num w:numId="24">
    <w:abstractNumId w:val="1"/>
  </w:num>
  <w:num w:numId="25">
    <w:abstractNumId w:val="30"/>
  </w:num>
  <w:num w:numId="26">
    <w:abstractNumId w:val="28"/>
  </w:num>
  <w:num w:numId="27">
    <w:abstractNumId w:val="10"/>
  </w:num>
  <w:num w:numId="28">
    <w:abstractNumId w:val="9"/>
  </w:num>
  <w:num w:numId="29">
    <w:abstractNumId w:val="8"/>
  </w:num>
  <w:num w:numId="30">
    <w:abstractNumId w:val="13"/>
  </w:num>
  <w:num w:numId="31">
    <w:abstractNumId w:val="1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C3"/>
    <w:rsid w:val="000004E4"/>
    <w:rsid w:val="00000DD8"/>
    <w:rsid w:val="00003143"/>
    <w:rsid w:val="00004A02"/>
    <w:rsid w:val="00005964"/>
    <w:rsid w:val="00010804"/>
    <w:rsid w:val="00025174"/>
    <w:rsid w:val="000269F1"/>
    <w:rsid w:val="000341A1"/>
    <w:rsid w:val="0003647B"/>
    <w:rsid w:val="00044ED5"/>
    <w:rsid w:val="000463BF"/>
    <w:rsid w:val="00046A14"/>
    <w:rsid w:val="000476D0"/>
    <w:rsid w:val="00050766"/>
    <w:rsid w:val="00050998"/>
    <w:rsid w:val="000522E0"/>
    <w:rsid w:val="00056711"/>
    <w:rsid w:val="00060B7A"/>
    <w:rsid w:val="00063C85"/>
    <w:rsid w:val="0006461D"/>
    <w:rsid w:val="00065437"/>
    <w:rsid w:val="0007307C"/>
    <w:rsid w:val="00073DD7"/>
    <w:rsid w:val="00075128"/>
    <w:rsid w:val="000769CC"/>
    <w:rsid w:val="00083853"/>
    <w:rsid w:val="00086A8E"/>
    <w:rsid w:val="00087E5A"/>
    <w:rsid w:val="0009365F"/>
    <w:rsid w:val="00093846"/>
    <w:rsid w:val="00096071"/>
    <w:rsid w:val="00096BF8"/>
    <w:rsid w:val="000A0791"/>
    <w:rsid w:val="000A2FBA"/>
    <w:rsid w:val="000A4868"/>
    <w:rsid w:val="000A680C"/>
    <w:rsid w:val="000A6D95"/>
    <w:rsid w:val="000B019F"/>
    <w:rsid w:val="000B25E7"/>
    <w:rsid w:val="000B5974"/>
    <w:rsid w:val="000C0647"/>
    <w:rsid w:val="000C0E11"/>
    <w:rsid w:val="000C3D13"/>
    <w:rsid w:val="000C58B3"/>
    <w:rsid w:val="000D5E3B"/>
    <w:rsid w:val="000E4B61"/>
    <w:rsid w:val="000E637E"/>
    <w:rsid w:val="000E7BC1"/>
    <w:rsid w:val="000E7FC8"/>
    <w:rsid w:val="000F5803"/>
    <w:rsid w:val="000F735B"/>
    <w:rsid w:val="00107F83"/>
    <w:rsid w:val="00111A3F"/>
    <w:rsid w:val="00112AB1"/>
    <w:rsid w:val="00113E51"/>
    <w:rsid w:val="00120D22"/>
    <w:rsid w:val="001213A8"/>
    <w:rsid w:val="00122752"/>
    <w:rsid w:val="001264A6"/>
    <w:rsid w:val="00130B0A"/>
    <w:rsid w:val="00135B56"/>
    <w:rsid w:val="00140A2F"/>
    <w:rsid w:val="00142787"/>
    <w:rsid w:val="00145D08"/>
    <w:rsid w:val="0014629C"/>
    <w:rsid w:val="0014656A"/>
    <w:rsid w:val="00147445"/>
    <w:rsid w:val="00147910"/>
    <w:rsid w:val="00156CB8"/>
    <w:rsid w:val="001606CE"/>
    <w:rsid w:val="00164E9D"/>
    <w:rsid w:val="001660B3"/>
    <w:rsid w:val="00174449"/>
    <w:rsid w:val="00175334"/>
    <w:rsid w:val="00177A37"/>
    <w:rsid w:val="00181B60"/>
    <w:rsid w:val="0019019C"/>
    <w:rsid w:val="00193C1A"/>
    <w:rsid w:val="001955F4"/>
    <w:rsid w:val="0019562D"/>
    <w:rsid w:val="00196EB3"/>
    <w:rsid w:val="001A1C48"/>
    <w:rsid w:val="001B1B53"/>
    <w:rsid w:val="001B4EB9"/>
    <w:rsid w:val="001B5EE5"/>
    <w:rsid w:val="001B6EED"/>
    <w:rsid w:val="001C0D99"/>
    <w:rsid w:val="001C19C4"/>
    <w:rsid w:val="001C2ECF"/>
    <w:rsid w:val="001C2FA9"/>
    <w:rsid w:val="001D29CC"/>
    <w:rsid w:val="001D66AB"/>
    <w:rsid w:val="001E0F97"/>
    <w:rsid w:val="001E1261"/>
    <w:rsid w:val="001E2326"/>
    <w:rsid w:val="001E70EC"/>
    <w:rsid w:val="001F00F2"/>
    <w:rsid w:val="001F02C2"/>
    <w:rsid w:val="001F4185"/>
    <w:rsid w:val="001F41F5"/>
    <w:rsid w:val="001F73F6"/>
    <w:rsid w:val="00203E14"/>
    <w:rsid w:val="00213B88"/>
    <w:rsid w:val="00216A00"/>
    <w:rsid w:val="0021756C"/>
    <w:rsid w:val="0022054B"/>
    <w:rsid w:val="002223B4"/>
    <w:rsid w:val="00224784"/>
    <w:rsid w:val="00225118"/>
    <w:rsid w:val="002301E3"/>
    <w:rsid w:val="00231BA6"/>
    <w:rsid w:val="002324C8"/>
    <w:rsid w:val="00235D7F"/>
    <w:rsid w:val="00236511"/>
    <w:rsid w:val="00236531"/>
    <w:rsid w:val="00236A88"/>
    <w:rsid w:val="00236B32"/>
    <w:rsid w:val="002420A2"/>
    <w:rsid w:val="00244AE9"/>
    <w:rsid w:val="00244B2A"/>
    <w:rsid w:val="00246750"/>
    <w:rsid w:val="002467DC"/>
    <w:rsid w:val="00251218"/>
    <w:rsid w:val="00251817"/>
    <w:rsid w:val="0025288A"/>
    <w:rsid w:val="00254569"/>
    <w:rsid w:val="00256A18"/>
    <w:rsid w:val="00257DE4"/>
    <w:rsid w:val="0026641C"/>
    <w:rsid w:val="0027417A"/>
    <w:rsid w:val="00276638"/>
    <w:rsid w:val="00277EDC"/>
    <w:rsid w:val="00281D07"/>
    <w:rsid w:val="002834EC"/>
    <w:rsid w:val="00290B4D"/>
    <w:rsid w:val="002930F0"/>
    <w:rsid w:val="00293887"/>
    <w:rsid w:val="00293E01"/>
    <w:rsid w:val="0029402B"/>
    <w:rsid w:val="00294156"/>
    <w:rsid w:val="00294AC3"/>
    <w:rsid w:val="00296F15"/>
    <w:rsid w:val="002A6429"/>
    <w:rsid w:val="002B6EA1"/>
    <w:rsid w:val="002C014C"/>
    <w:rsid w:val="002C10AD"/>
    <w:rsid w:val="002C7687"/>
    <w:rsid w:val="002D0ECF"/>
    <w:rsid w:val="002D36DF"/>
    <w:rsid w:val="002E1A93"/>
    <w:rsid w:val="002E2D9C"/>
    <w:rsid w:val="002E32FB"/>
    <w:rsid w:val="002E47F8"/>
    <w:rsid w:val="002F1BCE"/>
    <w:rsid w:val="002F26FD"/>
    <w:rsid w:val="00300B62"/>
    <w:rsid w:val="00302866"/>
    <w:rsid w:val="003051A3"/>
    <w:rsid w:val="00306DCD"/>
    <w:rsid w:val="003138D5"/>
    <w:rsid w:val="00313EAE"/>
    <w:rsid w:val="00315D2D"/>
    <w:rsid w:val="0032562F"/>
    <w:rsid w:val="00326491"/>
    <w:rsid w:val="003311CC"/>
    <w:rsid w:val="003317A6"/>
    <w:rsid w:val="003340DA"/>
    <w:rsid w:val="00336D3A"/>
    <w:rsid w:val="00336EBC"/>
    <w:rsid w:val="00341A90"/>
    <w:rsid w:val="00343438"/>
    <w:rsid w:val="003439F1"/>
    <w:rsid w:val="00352E45"/>
    <w:rsid w:val="00353229"/>
    <w:rsid w:val="00353DA6"/>
    <w:rsid w:val="00354A36"/>
    <w:rsid w:val="00356A33"/>
    <w:rsid w:val="00370A62"/>
    <w:rsid w:val="00373127"/>
    <w:rsid w:val="003759A0"/>
    <w:rsid w:val="0037613E"/>
    <w:rsid w:val="00377508"/>
    <w:rsid w:val="00377CDD"/>
    <w:rsid w:val="0038005D"/>
    <w:rsid w:val="00381FFE"/>
    <w:rsid w:val="00383B9A"/>
    <w:rsid w:val="003860E1"/>
    <w:rsid w:val="0039426E"/>
    <w:rsid w:val="00395433"/>
    <w:rsid w:val="003A3CD4"/>
    <w:rsid w:val="003A45E7"/>
    <w:rsid w:val="003A7EA2"/>
    <w:rsid w:val="003B0CB2"/>
    <w:rsid w:val="003B20F6"/>
    <w:rsid w:val="003B6B27"/>
    <w:rsid w:val="003C48AB"/>
    <w:rsid w:val="003C5B35"/>
    <w:rsid w:val="003C76C2"/>
    <w:rsid w:val="003D109A"/>
    <w:rsid w:val="003D1284"/>
    <w:rsid w:val="003D1ED6"/>
    <w:rsid w:val="003D38DD"/>
    <w:rsid w:val="003E18EB"/>
    <w:rsid w:val="003E1C42"/>
    <w:rsid w:val="003E5AE1"/>
    <w:rsid w:val="003E67EC"/>
    <w:rsid w:val="003E74A0"/>
    <w:rsid w:val="003F0C6D"/>
    <w:rsid w:val="003F156B"/>
    <w:rsid w:val="003F2158"/>
    <w:rsid w:val="004003C4"/>
    <w:rsid w:val="00400570"/>
    <w:rsid w:val="00401EDB"/>
    <w:rsid w:val="00401F77"/>
    <w:rsid w:val="004031E0"/>
    <w:rsid w:val="00403FB5"/>
    <w:rsid w:val="0040574C"/>
    <w:rsid w:val="00412268"/>
    <w:rsid w:val="004150AC"/>
    <w:rsid w:val="00415968"/>
    <w:rsid w:val="00415F57"/>
    <w:rsid w:val="00424DFC"/>
    <w:rsid w:val="00427DE9"/>
    <w:rsid w:val="00427FA6"/>
    <w:rsid w:val="00432E3E"/>
    <w:rsid w:val="0043565A"/>
    <w:rsid w:val="00440561"/>
    <w:rsid w:val="00445749"/>
    <w:rsid w:val="0044650D"/>
    <w:rsid w:val="00446E65"/>
    <w:rsid w:val="00450494"/>
    <w:rsid w:val="00453116"/>
    <w:rsid w:val="0045544D"/>
    <w:rsid w:val="004563CB"/>
    <w:rsid w:val="00461D3F"/>
    <w:rsid w:val="00466562"/>
    <w:rsid w:val="00475DE6"/>
    <w:rsid w:val="00480371"/>
    <w:rsid w:val="0048053A"/>
    <w:rsid w:val="00482AA9"/>
    <w:rsid w:val="00482B5E"/>
    <w:rsid w:val="00482E00"/>
    <w:rsid w:val="00492D8B"/>
    <w:rsid w:val="0049337D"/>
    <w:rsid w:val="004A15E7"/>
    <w:rsid w:val="004A5E04"/>
    <w:rsid w:val="004B509D"/>
    <w:rsid w:val="004C05F4"/>
    <w:rsid w:val="004C2433"/>
    <w:rsid w:val="004C27A6"/>
    <w:rsid w:val="004C4A58"/>
    <w:rsid w:val="004C5493"/>
    <w:rsid w:val="004D32DE"/>
    <w:rsid w:val="004D3BD7"/>
    <w:rsid w:val="004D4D5B"/>
    <w:rsid w:val="004E399D"/>
    <w:rsid w:val="004E4AF3"/>
    <w:rsid w:val="004E7F24"/>
    <w:rsid w:val="004F14A4"/>
    <w:rsid w:val="00502923"/>
    <w:rsid w:val="00504BD6"/>
    <w:rsid w:val="0051206C"/>
    <w:rsid w:val="0051393C"/>
    <w:rsid w:val="00515515"/>
    <w:rsid w:val="005165E0"/>
    <w:rsid w:val="00520022"/>
    <w:rsid w:val="0052099D"/>
    <w:rsid w:val="00523719"/>
    <w:rsid w:val="00530C3A"/>
    <w:rsid w:val="00531BD8"/>
    <w:rsid w:val="005326CC"/>
    <w:rsid w:val="0053348D"/>
    <w:rsid w:val="005342A5"/>
    <w:rsid w:val="0053674A"/>
    <w:rsid w:val="00545811"/>
    <w:rsid w:val="00546E89"/>
    <w:rsid w:val="005473B2"/>
    <w:rsid w:val="00550AD7"/>
    <w:rsid w:val="005538B8"/>
    <w:rsid w:val="005556D1"/>
    <w:rsid w:val="005566E0"/>
    <w:rsid w:val="00556FD9"/>
    <w:rsid w:val="00557C7C"/>
    <w:rsid w:val="00557CB7"/>
    <w:rsid w:val="00560B2B"/>
    <w:rsid w:val="00567E1F"/>
    <w:rsid w:val="00573DF9"/>
    <w:rsid w:val="00576436"/>
    <w:rsid w:val="005764CE"/>
    <w:rsid w:val="00582ED8"/>
    <w:rsid w:val="00583A60"/>
    <w:rsid w:val="00585821"/>
    <w:rsid w:val="00587CB6"/>
    <w:rsid w:val="00590233"/>
    <w:rsid w:val="0059249B"/>
    <w:rsid w:val="00594A90"/>
    <w:rsid w:val="005A0317"/>
    <w:rsid w:val="005A0323"/>
    <w:rsid w:val="005A2456"/>
    <w:rsid w:val="005B28EA"/>
    <w:rsid w:val="005B7FCC"/>
    <w:rsid w:val="005C0754"/>
    <w:rsid w:val="005C233F"/>
    <w:rsid w:val="005C6C5F"/>
    <w:rsid w:val="005C6C96"/>
    <w:rsid w:val="005D2BF4"/>
    <w:rsid w:val="005D65DB"/>
    <w:rsid w:val="005D6C6B"/>
    <w:rsid w:val="005E17FB"/>
    <w:rsid w:val="005F03BD"/>
    <w:rsid w:val="005F42F2"/>
    <w:rsid w:val="00603704"/>
    <w:rsid w:val="00605D94"/>
    <w:rsid w:val="0060639C"/>
    <w:rsid w:val="00612875"/>
    <w:rsid w:val="00612FD0"/>
    <w:rsid w:val="00622465"/>
    <w:rsid w:val="00623029"/>
    <w:rsid w:val="006256EC"/>
    <w:rsid w:val="00625E35"/>
    <w:rsid w:val="006271DE"/>
    <w:rsid w:val="0063588F"/>
    <w:rsid w:val="00637015"/>
    <w:rsid w:val="0063723E"/>
    <w:rsid w:val="00637492"/>
    <w:rsid w:val="006376EA"/>
    <w:rsid w:val="0064024A"/>
    <w:rsid w:val="0064286A"/>
    <w:rsid w:val="00643141"/>
    <w:rsid w:val="006460C8"/>
    <w:rsid w:val="00647DA1"/>
    <w:rsid w:val="0065179B"/>
    <w:rsid w:val="00652708"/>
    <w:rsid w:val="00652AA3"/>
    <w:rsid w:val="00653632"/>
    <w:rsid w:val="00653F66"/>
    <w:rsid w:val="00654A3C"/>
    <w:rsid w:val="006600D8"/>
    <w:rsid w:val="00661CFC"/>
    <w:rsid w:val="006635EC"/>
    <w:rsid w:val="006646B3"/>
    <w:rsid w:val="00665711"/>
    <w:rsid w:val="00666AA1"/>
    <w:rsid w:val="00670527"/>
    <w:rsid w:val="00672CBE"/>
    <w:rsid w:val="006747EF"/>
    <w:rsid w:val="0067753E"/>
    <w:rsid w:val="006812FC"/>
    <w:rsid w:val="0068191A"/>
    <w:rsid w:val="006859EA"/>
    <w:rsid w:val="00687A30"/>
    <w:rsid w:val="0069246C"/>
    <w:rsid w:val="006933EF"/>
    <w:rsid w:val="00694197"/>
    <w:rsid w:val="00695DD8"/>
    <w:rsid w:val="00696B63"/>
    <w:rsid w:val="006A04CA"/>
    <w:rsid w:val="006A4B0C"/>
    <w:rsid w:val="006B0262"/>
    <w:rsid w:val="006B0846"/>
    <w:rsid w:val="006B0D2F"/>
    <w:rsid w:val="006B2061"/>
    <w:rsid w:val="006B5870"/>
    <w:rsid w:val="006B7F49"/>
    <w:rsid w:val="006C1E9E"/>
    <w:rsid w:val="006C220A"/>
    <w:rsid w:val="006C3EAF"/>
    <w:rsid w:val="006C3EF5"/>
    <w:rsid w:val="006C51B7"/>
    <w:rsid w:val="006C741A"/>
    <w:rsid w:val="006D08DF"/>
    <w:rsid w:val="006D293D"/>
    <w:rsid w:val="006D40DC"/>
    <w:rsid w:val="006E22D6"/>
    <w:rsid w:val="006E4A3C"/>
    <w:rsid w:val="006E67BB"/>
    <w:rsid w:val="006E7BEB"/>
    <w:rsid w:val="006F3BA0"/>
    <w:rsid w:val="006F5A30"/>
    <w:rsid w:val="006F5E83"/>
    <w:rsid w:val="006F626B"/>
    <w:rsid w:val="00705407"/>
    <w:rsid w:val="007079AD"/>
    <w:rsid w:val="007163C7"/>
    <w:rsid w:val="00717A65"/>
    <w:rsid w:val="00723719"/>
    <w:rsid w:val="0073621A"/>
    <w:rsid w:val="0073762F"/>
    <w:rsid w:val="00742AAA"/>
    <w:rsid w:val="00744BF9"/>
    <w:rsid w:val="00751B47"/>
    <w:rsid w:val="00753C65"/>
    <w:rsid w:val="00754725"/>
    <w:rsid w:val="0076051E"/>
    <w:rsid w:val="00760E95"/>
    <w:rsid w:val="007636F0"/>
    <w:rsid w:val="00766B79"/>
    <w:rsid w:val="00774232"/>
    <w:rsid w:val="007745D5"/>
    <w:rsid w:val="007755AB"/>
    <w:rsid w:val="00776B3E"/>
    <w:rsid w:val="00790A39"/>
    <w:rsid w:val="007948B6"/>
    <w:rsid w:val="00796C5A"/>
    <w:rsid w:val="007A1889"/>
    <w:rsid w:val="007A2C6D"/>
    <w:rsid w:val="007A687E"/>
    <w:rsid w:val="007B259D"/>
    <w:rsid w:val="007B2AB6"/>
    <w:rsid w:val="007B4523"/>
    <w:rsid w:val="007B47F0"/>
    <w:rsid w:val="007B5B8A"/>
    <w:rsid w:val="007C5050"/>
    <w:rsid w:val="007C5C53"/>
    <w:rsid w:val="007D061F"/>
    <w:rsid w:val="007D27C2"/>
    <w:rsid w:val="007D502A"/>
    <w:rsid w:val="007D68C0"/>
    <w:rsid w:val="007E1A3A"/>
    <w:rsid w:val="007E77D7"/>
    <w:rsid w:val="007F1BD6"/>
    <w:rsid w:val="007F5DCF"/>
    <w:rsid w:val="007F6BCA"/>
    <w:rsid w:val="007F74C1"/>
    <w:rsid w:val="00800E86"/>
    <w:rsid w:val="00801F77"/>
    <w:rsid w:val="00802001"/>
    <w:rsid w:val="00804428"/>
    <w:rsid w:val="008058A4"/>
    <w:rsid w:val="00807134"/>
    <w:rsid w:val="0081079B"/>
    <w:rsid w:val="00812B28"/>
    <w:rsid w:val="00814638"/>
    <w:rsid w:val="0081586A"/>
    <w:rsid w:val="008161D5"/>
    <w:rsid w:val="008169E5"/>
    <w:rsid w:val="00822B53"/>
    <w:rsid w:val="00825475"/>
    <w:rsid w:val="0082776B"/>
    <w:rsid w:val="00835700"/>
    <w:rsid w:val="00841B64"/>
    <w:rsid w:val="00844BBB"/>
    <w:rsid w:val="008454CB"/>
    <w:rsid w:val="008463F7"/>
    <w:rsid w:val="00850430"/>
    <w:rsid w:val="00853260"/>
    <w:rsid w:val="00853651"/>
    <w:rsid w:val="0086293C"/>
    <w:rsid w:val="00864B5D"/>
    <w:rsid w:val="0086542C"/>
    <w:rsid w:val="00870227"/>
    <w:rsid w:val="008714B0"/>
    <w:rsid w:val="00873396"/>
    <w:rsid w:val="00877487"/>
    <w:rsid w:val="008804B6"/>
    <w:rsid w:val="00887077"/>
    <w:rsid w:val="008966E9"/>
    <w:rsid w:val="0089716D"/>
    <w:rsid w:val="00897B18"/>
    <w:rsid w:val="008A7EA7"/>
    <w:rsid w:val="008B1BDB"/>
    <w:rsid w:val="008B3C18"/>
    <w:rsid w:val="008C6199"/>
    <w:rsid w:val="008C6CC5"/>
    <w:rsid w:val="008D11AB"/>
    <w:rsid w:val="008D73F1"/>
    <w:rsid w:val="008E4FB5"/>
    <w:rsid w:val="008F1095"/>
    <w:rsid w:val="008F11DB"/>
    <w:rsid w:val="008F1555"/>
    <w:rsid w:val="008F43B3"/>
    <w:rsid w:val="00903291"/>
    <w:rsid w:val="00911A68"/>
    <w:rsid w:val="0091371D"/>
    <w:rsid w:val="00915603"/>
    <w:rsid w:val="0091587E"/>
    <w:rsid w:val="00917A87"/>
    <w:rsid w:val="00921CD9"/>
    <w:rsid w:val="009254FD"/>
    <w:rsid w:val="0092564E"/>
    <w:rsid w:val="00932FF0"/>
    <w:rsid w:val="009343D3"/>
    <w:rsid w:val="00934710"/>
    <w:rsid w:val="00943CDA"/>
    <w:rsid w:val="0095223E"/>
    <w:rsid w:val="0095369B"/>
    <w:rsid w:val="009539A9"/>
    <w:rsid w:val="00961438"/>
    <w:rsid w:val="00967191"/>
    <w:rsid w:val="009806DD"/>
    <w:rsid w:val="0098490E"/>
    <w:rsid w:val="00986698"/>
    <w:rsid w:val="009871CB"/>
    <w:rsid w:val="009875B7"/>
    <w:rsid w:val="00990B2C"/>
    <w:rsid w:val="009910B0"/>
    <w:rsid w:val="009920A1"/>
    <w:rsid w:val="0099458B"/>
    <w:rsid w:val="009A22D7"/>
    <w:rsid w:val="009A256E"/>
    <w:rsid w:val="009A4C15"/>
    <w:rsid w:val="009A53E6"/>
    <w:rsid w:val="009A6576"/>
    <w:rsid w:val="009B352B"/>
    <w:rsid w:val="009B447F"/>
    <w:rsid w:val="009B486A"/>
    <w:rsid w:val="009B6E0B"/>
    <w:rsid w:val="009B72EE"/>
    <w:rsid w:val="009D6EBC"/>
    <w:rsid w:val="009E3E07"/>
    <w:rsid w:val="009E3F43"/>
    <w:rsid w:val="009F10C7"/>
    <w:rsid w:val="009F15AE"/>
    <w:rsid w:val="009F377A"/>
    <w:rsid w:val="009F4776"/>
    <w:rsid w:val="009F7539"/>
    <w:rsid w:val="009F7A60"/>
    <w:rsid w:val="00A043FB"/>
    <w:rsid w:val="00A10460"/>
    <w:rsid w:val="00A1447A"/>
    <w:rsid w:val="00A21C23"/>
    <w:rsid w:val="00A22689"/>
    <w:rsid w:val="00A26FCD"/>
    <w:rsid w:val="00A270DD"/>
    <w:rsid w:val="00A30430"/>
    <w:rsid w:val="00A30B0A"/>
    <w:rsid w:val="00A322F6"/>
    <w:rsid w:val="00A374B0"/>
    <w:rsid w:val="00A377CE"/>
    <w:rsid w:val="00A41870"/>
    <w:rsid w:val="00A43D56"/>
    <w:rsid w:val="00A459D3"/>
    <w:rsid w:val="00A46A3F"/>
    <w:rsid w:val="00A502D5"/>
    <w:rsid w:val="00A52B9A"/>
    <w:rsid w:val="00A55B0A"/>
    <w:rsid w:val="00A57A0D"/>
    <w:rsid w:val="00A57E6C"/>
    <w:rsid w:val="00A60CC6"/>
    <w:rsid w:val="00A64D63"/>
    <w:rsid w:val="00A73EAD"/>
    <w:rsid w:val="00A835AE"/>
    <w:rsid w:val="00A860FF"/>
    <w:rsid w:val="00A92E3A"/>
    <w:rsid w:val="00A9596F"/>
    <w:rsid w:val="00A979B0"/>
    <w:rsid w:val="00AA3ACF"/>
    <w:rsid w:val="00AA4675"/>
    <w:rsid w:val="00AA596B"/>
    <w:rsid w:val="00AA7968"/>
    <w:rsid w:val="00AB05E0"/>
    <w:rsid w:val="00AB106D"/>
    <w:rsid w:val="00AB1E07"/>
    <w:rsid w:val="00AB26BF"/>
    <w:rsid w:val="00AB2CB4"/>
    <w:rsid w:val="00AB2F0F"/>
    <w:rsid w:val="00AB685B"/>
    <w:rsid w:val="00AB7843"/>
    <w:rsid w:val="00AB7F06"/>
    <w:rsid w:val="00AC2464"/>
    <w:rsid w:val="00AC5412"/>
    <w:rsid w:val="00AC5C5D"/>
    <w:rsid w:val="00AC621E"/>
    <w:rsid w:val="00AC6581"/>
    <w:rsid w:val="00AD00C2"/>
    <w:rsid w:val="00AD2B56"/>
    <w:rsid w:val="00AD3C0E"/>
    <w:rsid w:val="00AD7900"/>
    <w:rsid w:val="00AE2602"/>
    <w:rsid w:val="00AF1695"/>
    <w:rsid w:val="00AF37A0"/>
    <w:rsid w:val="00AF4E99"/>
    <w:rsid w:val="00AF5FA8"/>
    <w:rsid w:val="00AF7C58"/>
    <w:rsid w:val="00B04B52"/>
    <w:rsid w:val="00B13589"/>
    <w:rsid w:val="00B21051"/>
    <w:rsid w:val="00B22F34"/>
    <w:rsid w:val="00B23FDB"/>
    <w:rsid w:val="00B30BEE"/>
    <w:rsid w:val="00B32BE3"/>
    <w:rsid w:val="00B34F42"/>
    <w:rsid w:val="00B37EC9"/>
    <w:rsid w:val="00B37FF9"/>
    <w:rsid w:val="00B45CDF"/>
    <w:rsid w:val="00B4697D"/>
    <w:rsid w:val="00B549F5"/>
    <w:rsid w:val="00B602A2"/>
    <w:rsid w:val="00B658B4"/>
    <w:rsid w:val="00B66137"/>
    <w:rsid w:val="00B74775"/>
    <w:rsid w:val="00B757C4"/>
    <w:rsid w:val="00B82DF3"/>
    <w:rsid w:val="00B852C1"/>
    <w:rsid w:val="00B931A8"/>
    <w:rsid w:val="00B943E3"/>
    <w:rsid w:val="00B952F6"/>
    <w:rsid w:val="00B97C55"/>
    <w:rsid w:val="00BA0D91"/>
    <w:rsid w:val="00BA14A9"/>
    <w:rsid w:val="00BA33C0"/>
    <w:rsid w:val="00BA45E4"/>
    <w:rsid w:val="00BA767A"/>
    <w:rsid w:val="00BB37D3"/>
    <w:rsid w:val="00BB3B18"/>
    <w:rsid w:val="00BB576A"/>
    <w:rsid w:val="00BC213D"/>
    <w:rsid w:val="00BC5FB2"/>
    <w:rsid w:val="00BD20BF"/>
    <w:rsid w:val="00BD32EB"/>
    <w:rsid w:val="00BD441B"/>
    <w:rsid w:val="00BD6A35"/>
    <w:rsid w:val="00BD72DF"/>
    <w:rsid w:val="00BE0039"/>
    <w:rsid w:val="00BE2FAD"/>
    <w:rsid w:val="00BE4B40"/>
    <w:rsid w:val="00BE5A9A"/>
    <w:rsid w:val="00BE697A"/>
    <w:rsid w:val="00BE7480"/>
    <w:rsid w:val="00BF1770"/>
    <w:rsid w:val="00BF1CF0"/>
    <w:rsid w:val="00BF427D"/>
    <w:rsid w:val="00BF6EB6"/>
    <w:rsid w:val="00C01625"/>
    <w:rsid w:val="00C01F8B"/>
    <w:rsid w:val="00C06EF0"/>
    <w:rsid w:val="00C06F93"/>
    <w:rsid w:val="00C13AFB"/>
    <w:rsid w:val="00C167DC"/>
    <w:rsid w:val="00C175E9"/>
    <w:rsid w:val="00C21FD6"/>
    <w:rsid w:val="00C239EF"/>
    <w:rsid w:val="00C246F7"/>
    <w:rsid w:val="00C33306"/>
    <w:rsid w:val="00C36D40"/>
    <w:rsid w:val="00C507F2"/>
    <w:rsid w:val="00C50B59"/>
    <w:rsid w:val="00C553DC"/>
    <w:rsid w:val="00C55BCA"/>
    <w:rsid w:val="00C56038"/>
    <w:rsid w:val="00C6449E"/>
    <w:rsid w:val="00C709D3"/>
    <w:rsid w:val="00C7281D"/>
    <w:rsid w:val="00C800D4"/>
    <w:rsid w:val="00C8130F"/>
    <w:rsid w:val="00C915A7"/>
    <w:rsid w:val="00C95A47"/>
    <w:rsid w:val="00CA29CC"/>
    <w:rsid w:val="00CB09BA"/>
    <w:rsid w:val="00CB3553"/>
    <w:rsid w:val="00CB37A4"/>
    <w:rsid w:val="00CB387F"/>
    <w:rsid w:val="00CB6A4B"/>
    <w:rsid w:val="00CC00B1"/>
    <w:rsid w:val="00CC3D75"/>
    <w:rsid w:val="00CC4AFC"/>
    <w:rsid w:val="00CC70DE"/>
    <w:rsid w:val="00CC760F"/>
    <w:rsid w:val="00CD2526"/>
    <w:rsid w:val="00CD59E6"/>
    <w:rsid w:val="00CD7254"/>
    <w:rsid w:val="00CE2B07"/>
    <w:rsid w:val="00CE3170"/>
    <w:rsid w:val="00CE40EC"/>
    <w:rsid w:val="00CE48CC"/>
    <w:rsid w:val="00CE7250"/>
    <w:rsid w:val="00CF23B4"/>
    <w:rsid w:val="00CF271F"/>
    <w:rsid w:val="00CF6744"/>
    <w:rsid w:val="00D02766"/>
    <w:rsid w:val="00D03958"/>
    <w:rsid w:val="00D052B8"/>
    <w:rsid w:val="00D12DA5"/>
    <w:rsid w:val="00D1447C"/>
    <w:rsid w:val="00D15FC4"/>
    <w:rsid w:val="00D201C6"/>
    <w:rsid w:val="00D227CE"/>
    <w:rsid w:val="00D32535"/>
    <w:rsid w:val="00D327DA"/>
    <w:rsid w:val="00D32E3A"/>
    <w:rsid w:val="00D41AFD"/>
    <w:rsid w:val="00D45D70"/>
    <w:rsid w:val="00D4729A"/>
    <w:rsid w:val="00D47B67"/>
    <w:rsid w:val="00D50DB9"/>
    <w:rsid w:val="00D51658"/>
    <w:rsid w:val="00D51A84"/>
    <w:rsid w:val="00D54DC2"/>
    <w:rsid w:val="00D56624"/>
    <w:rsid w:val="00D63B2B"/>
    <w:rsid w:val="00D71E80"/>
    <w:rsid w:val="00D72402"/>
    <w:rsid w:val="00D77AE2"/>
    <w:rsid w:val="00D77BE4"/>
    <w:rsid w:val="00D80D4A"/>
    <w:rsid w:val="00D83F30"/>
    <w:rsid w:val="00D84FB3"/>
    <w:rsid w:val="00D850EA"/>
    <w:rsid w:val="00D9148C"/>
    <w:rsid w:val="00D94E5F"/>
    <w:rsid w:val="00DA1E5A"/>
    <w:rsid w:val="00DA3FDB"/>
    <w:rsid w:val="00DB132E"/>
    <w:rsid w:val="00DB4CAC"/>
    <w:rsid w:val="00DB4D3C"/>
    <w:rsid w:val="00DB5DB0"/>
    <w:rsid w:val="00DB68E2"/>
    <w:rsid w:val="00DC2FBE"/>
    <w:rsid w:val="00DC4292"/>
    <w:rsid w:val="00DD3EF5"/>
    <w:rsid w:val="00DD66CD"/>
    <w:rsid w:val="00DE16A3"/>
    <w:rsid w:val="00DE4BB9"/>
    <w:rsid w:val="00DF611B"/>
    <w:rsid w:val="00E027A4"/>
    <w:rsid w:val="00E030E3"/>
    <w:rsid w:val="00E0421D"/>
    <w:rsid w:val="00E0423E"/>
    <w:rsid w:val="00E05C91"/>
    <w:rsid w:val="00E074D4"/>
    <w:rsid w:val="00E07E76"/>
    <w:rsid w:val="00E151C4"/>
    <w:rsid w:val="00E17036"/>
    <w:rsid w:val="00E219CA"/>
    <w:rsid w:val="00E2483C"/>
    <w:rsid w:val="00E333E3"/>
    <w:rsid w:val="00E3533D"/>
    <w:rsid w:val="00E46419"/>
    <w:rsid w:val="00E47148"/>
    <w:rsid w:val="00E54750"/>
    <w:rsid w:val="00E55A3E"/>
    <w:rsid w:val="00E64D71"/>
    <w:rsid w:val="00E71594"/>
    <w:rsid w:val="00E728E1"/>
    <w:rsid w:val="00E7545B"/>
    <w:rsid w:val="00E7759A"/>
    <w:rsid w:val="00E778EC"/>
    <w:rsid w:val="00E80B05"/>
    <w:rsid w:val="00E81624"/>
    <w:rsid w:val="00E81BE9"/>
    <w:rsid w:val="00E82BEA"/>
    <w:rsid w:val="00E84616"/>
    <w:rsid w:val="00E87054"/>
    <w:rsid w:val="00E87B0C"/>
    <w:rsid w:val="00E94346"/>
    <w:rsid w:val="00E96613"/>
    <w:rsid w:val="00E97656"/>
    <w:rsid w:val="00EA0896"/>
    <w:rsid w:val="00EA41B5"/>
    <w:rsid w:val="00EA433F"/>
    <w:rsid w:val="00EA5E48"/>
    <w:rsid w:val="00EB0992"/>
    <w:rsid w:val="00EB0C56"/>
    <w:rsid w:val="00EB198C"/>
    <w:rsid w:val="00EB236D"/>
    <w:rsid w:val="00EB7055"/>
    <w:rsid w:val="00EB7F42"/>
    <w:rsid w:val="00EC2130"/>
    <w:rsid w:val="00EC571E"/>
    <w:rsid w:val="00ED2BF6"/>
    <w:rsid w:val="00ED3474"/>
    <w:rsid w:val="00ED483F"/>
    <w:rsid w:val="00ED592E"/>
    <w:rsid w:val="00ED6675"/>
    <w:rsid w:val="00ED7B3A"/>
    <w:rsid w:val="00EE2A73"/>
    <w:rsid w:val="00EE544F"/>
    <w:rsid w:val="00EF05CC"/>
    <w:rsid w:val="00EF0C4A"/>
    <w:rsid w:val="00EF16E5"/>
    <w:rsid w:val="00EF2DA5"/>
    <w:rsid w:val="00EF400C"/>
    <w:rsid w:val="00EF458B"/>
    <w:rsid w:val="00EF5C0F"/>
    <w:rsid w:val="00EF5D1A"/>
    <w:rsid w:val="00EF72F0"/>
    <w:rsid w:val="00F003BC"/>
    <w:rsid w:val="00F0690E"/>
    <w:rsid w:val="00F06D3F"/>
    <w:rsid w:val="00F073C9"/>
    <w:rsid w:val="00F074BC"/>
    <w:rsid w:val="00F12C04"/>
    <w:rsid w:val="00F12E23"/>
    <w:rsid w:val="00F15AA7"/>
    <w:rsid w:val="00F160B6"/>
    <w:rsid w:val="00F163FC"/>
    <w:rsid w:val="00F17334"/>
    <w:rsid w:val="00F244C1"/>
    <w:rsid w:val="00F26A85"/>
    <w:rsid w:val="00F3292C"/>
    <w:rsid w:val="00F34DF2"/>
    <w:rsid w:val="00F3754E"/>
    <w:rsid w:val="00F41788"/>
    <w:rsid w:val="00F42DC8"/>
    <w:rsid w:val="00F44152"/>
    <w:rsid w:val="00F44F0A"/>
    <w:rsid w:val="00F46805"/>
    <w:rsid w:val="00F502C8"/>
    <w:rsid w:val="00F50A65"/>
    <w:rsid w:val="00F524C2"/>
    <w:rsid w:val="00F61606"/>
    <w:rsid w:val="00F61BB0"/>
    <w:rsid w:val="00F63942"/>
    <w:rsid w:val="00F70685"/>
    <w:rsid w:val="00F70CFD"/>
    <w:rsid w:val="00F71376"/>
    <w:rsid w:val="00F71490"/>
    <w:rsid w:val="00F75EE1"/>
    <w:rsid w:val="00F818EB"/>
    <w:rsid w:val="00F86176"/>
    <w:rsid w:val="00F8783B"/>
    <w:rsid w:val="00F878C5"/>
    <w:rsid w:val="00F87C74"/>
    <w:rsid w:val="00F9289E"/>
    <w:rsid w:val="00F9364A"/>
    <w:rsid w:val="00F947F2"/>
    <w:rsid w:val="00F95B6B"/>
    <w:rsid w:val="00F95C49"/>
    <w:rsid w:val="00FA0368"/>
    <w:rsid w:val="00FA3860"/>
    <w:rsid w:val="00FA5613"/>
    <w:rsid w:val="00FA5B4E"/>
    <w:rsid w:val="00FA6366"/>
    <w:rsid w:val="00FA6C0A"/>
    <w:rsid w:val="00FB283A"/>
    <w:rsid w:val="00FB41D5"/>
    <w:rsid w:val="00FC13F3"/>
    <w:rsid w:val="00FC2996"/>
    <w:rsid w:val="00FC48D0"/>
    <w:rsid w:val="00FC682C"/>
    <w:rsid w:val="00FE0383"/>
    <w:rsid w:val="00FE1212"/>
    <w:rsid w:val="00FE1E81"/>
    <w:rsid w:val="00FE4FB1"/>
    <w:rsid w:val="00FE587E"/>
    <w:rsid w:val="00FF25B0"/>
    <w:rsid w:val="00FF4A78"/>
    <w:rsid w:val="00FF68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exact"/>
    </w:pPr>
    <w:rPr>
      <w:sz w:val="24"/>
    </w:rPr>
  </w:style>
  <w:style w:type="paragraph" w:styleId="Overskrift1">
    <w:name w:val="heading 1"/>
    <w:basedOn w:val="Normal"/>
    <w:next w:val="Normal"/>
    <w:qFormat/>
    <w:pPr>
      <w:keepNext/>
      <w:outlineLvl w:val="0"/>
    </w:pPr>
    <w:rPr>
      <w:b/>
    </w:rPr>
  </w:style>
  <w:style w:type="paragraph" w:styleId="Overskrift2">
    <w:name w:val="heading 2"/>
    <w:basedOn w:val="Normal"/>
    <w:next w:val="Normal"/>
    <w:qFormat/>
    <w:rsid w:val="00801F77"/>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character" w:styleId="Sidetal">
    <w:name w:val="page number"/>
    <w:basedOn w:val="Standardskrifttypeiafsnit"/>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pPr>
      <w:jc w:val="both"/>
    </w:pPr>
  </w:style>
  <w:style w:type="paragraph" w:customStyle="1" w:styleId="nederstskakt2">
    <w:name w:val="nederst skakt2"/>
    <w:basedOn w:val="nederstskakt"/>
    <w:pPr>
      <w:framePr w:wrap="around"/>
    </w:pPr>
    <w:rPr>
      <w:rFonts w:ascii="Arial" w:hAnsi="Arial"/>
    </w:rPr>
  </w:style>
  <w:style w:type="character" w:styleId="Hyperlink">
    <w:name w:val="Hyperlink"/>
    <w:rPr>
      <w:color w:val="0000FF"/>
      <w:u w:val="single"/>
    </w:rPr>
  </w:style>
  <w:style w:type="character" w:styleId="BesgtHyperlink">
    <w:name w:val="FollowedHyperlink"/>
    <w:rPr>
      <w:color w:val="800080"/>
      <w:u w:val="single"/>
    </w:rPr>
  </w:style>
  <w:style w:type="character" w:customStyle="1" w:styleId="skaktTegn">
    <w:name w:val="skakt Tegn"/>
    <w:link w:val="skakt"/>
    <w:rsid w:val="001E0F97"/>
    <w:rPr>
      <w:rFonts w:ascii="Arial" w:hAnsi="Arial"/>
      <w:sz w:val="15"/>
      <w:lang w:val="da-DK" w:eastAsia="da-DK" w:bidi="ar-SA"/>
    </w:rPr>
  </w:style>
  <w:style w:type="table" w:styleId="Tabel-Gitter">
    <w:name w:val="Table Grid"/>
    <w:basedOn w:val="Tabel-Normal"/>
    <w:rsid w:val="00EA4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semiHidden/>
    <w:rsid w:val="002324C8"/>
    <w:rPr>
      <w:sz w:val="16"/>
      <w:szCs w:val="16"/>
    </w:rPr>
  </w:style>
  <w:style w:type="paragraph" w:styleId="Kommentartekst">
    <w:name w:val="annotation text"/>
    <w:basedOn w:val="Normal"/>
    <w:link w:val="KommentartekstTegn"/>
    <w:semiHidden/>
    <w:rsid w:val="002324C8"/>
    <w:rPr>
      <w:sz w:val="20"/>
    </w:rPr>
  </w:style>
  <w:style w:type="paragraph" w:styleId="Kommentaremne">
    <w:name w:val="annotation subject"/>
    <w:basedOn w:val="Kommentartekst"/>
    <w:next w:val="Kommentartekst"/>
    <w:semiHidden/>
    <w:rsid w:val="002324C8"/>
    <w:rPr>
      <w:b/>
      <w:bCs/>
    </w:rPr>
  </w:style>
  <w:style w:type="paragraph" w:styleId="Markeringsbobletekst">
    <w:name w:val="Balloon Text"/>
    <w:basedOn w:val="Normal"/>
    <w:semiHidden/>
    <w:rsid w:val="002324C8"/>
    <w:rPr>
      <w:rFonts w:ascii="Tahoma" w:hAnsi="Tahoma" w:cs="Tahoma"/>
      <w:sz w:val="16"/>
      <w:szCs w:val="16"/>
    </w:rPr>
  </w:style>
  <w:style w:type="paragraph" w:styleId="Fodnotetekst">
    <w:name w:val="footnote text"/>
    <w:basedOn w:val="Normal"/>
    <w:semiHidden/>
    <w:rsid w:val="00807134"/>
    <w:rPr>
      <w:sz w:val="20"/>
    </w:rPr>
  </w:style>
  <w:style w:type="character" w:styleId="Fodnotehenvisning">
    <w:name w:val="footnote reference"/>
    <w:semiHidden/>
    <w:rsid w:val="00807134"/>
    <w:rPr>
      <w:vertAlign w:val="superscript"/>
    </w:rPr>
  </w:style>
  <w:style w:type="paragraph" w:customStyle="1" w:styleId="paragraf">
    <w:name w:val="paragraf"/>
    <w:basedOn w:val="Normal"/>
    <w:rsid w:val="000A4868"/>
    <w:pPr>
      <w:spacing w:before="200" w:line="240" w:lineRule="auto"/>
      <w:ind w:firstLine="240"/>
    </w:pPr>
    <w:rPr>
      <w:rFonts w:ascii="Tahoma" w:hAnsi="Tahoma" w:cs="Tahoma"/>
      <w:color w:val="000000"/>
      <w:szCs w:val="24"/>
    </w:rPr>
  </w:style>
  <w:style w:type="paragraph" w:customStyle="1" w:styleId="stk2">
    <w:name w:val="stk2"/>
    <w:basedOn w:val="Normal"/>
    <w:rsid w:val="000A4868"/>
    <w:pPr>
      <w:spacing w:line="240" w:lineRule="auto"/>
      <w:ind w:firstLine="240"/>
    </w:pPr>
    <w:rPr>
      <w:rFonts w:ascii="Tahoma" w:hAnsi="Tahoma" w:cs="Tahoma"/>
      <w:color w:val="000000"/>
      <w:szCs w:val="24"/>
    </w:rPr>
  </w:style>
  <w:style w:type="character" w:customStyle="1" w:styleId="paragrafnr1">
    <w:name w:val="paragrafnr1"/>
    <w:rsid w:val="000A4868"/>
    <w:rPr>
      <w:rFonts w:ascii="Tahoma" w:hAnsi="Tahoma" w:cs="Tahoma" w:hint="default"/>
      <w:b/>
      <w:bCs/>
      <w:color w:val="000000"/>
      <w:sz w:val="24"/>
      <w:szCs w:val="24"/>
      <w:shd w:val="clear" w:color="auto" w:fill="auto"/>
    </w:rPr>
  </w:style>
  <w:style w:type="character" w:customStyle="1" w:styleId="stknr1">
    <w:name w:val="stknr1"/>
    <w:rsid w:val="000A4868"/>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096BF8"/>
    <w:pPr>
      <w:ind w:left="720"/>
      <w:contextualSpacing/>
    </w:pPr>
  </w:style>
  <w:style w:type="paragraph" w:styleId="Korrektur">
    <w:name w:val="Revision"/>
    <w:hidden/>
    <w:uiPriority w:val="99"/>
    <w:semiHidden/>
    <w:rsid w:val="00BE2FAD"/>
    <w:rPr>
      <w:sz w:val="24"/>
    </w:rPr>
  </w:style>
  <w:style w:type="character" w:customStyle="1" w:styleId="KommentartekstTegn">
    <w:name w:val="Kommentartekst Tegn"/>
    <w:basedOn w:val="Standardskrifttypeiafsnit"/>
    <w:link w:val="Kommentartekst"/>
    <w:semiHidden/>
    <w:rsid w:val="00D15FC4"/>
  </w:style>
  <w:style w:type="paragraph" w:styleId="Slutnotetekst">
    <w:name w:val="endnote text"/>
    <w:basedOn w:val="Normal"/>
    <w:link w:val="SlutnotetekstTegn"/>
    <w:rsid w:val="00864B5D"/>
    <w:pPr>
      <w:spacing w:line="240" w:lineRule="auto"/>
    </w:pPr>
    <w:rPr>
      <w:sz w:val="20"/>
    </w:rPr>
  </w:style>
  <w:style w:type="character" w:customStyle="1" w:styleId="SlutnotetekstTegn">
    <w:name w:val="Slutnotetekst Tegn"/>
    <w:basedOn w:val="Standardskrifttypeiafsnit"/>
    <w:link w:val="Slutnotetekst"/>
    <w:rsid w:val="00864B5D"/>
  </w:style>
  <w:style w:type="character" w:styleId="Slutnotehenvisning">
    <w:name w:val="endnote reference"/>
    <w:basedOn w:val="Standardskrifttypeiafsnit"/>
    <w:rsid w:val="00864B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exact"/>
    </w:pPr>
    <w:rPr>
      <w:sz w:val="24"/>
    </w:rPr>
  </w:style>
  <w:style w:type="paragraph" w:styleId="Overskrift1">
    <w:name w:val="heading 1"/>
    <w:basedOn w:val="Normal"/>
    <w:next w:val="Normal"/>
    <w:qFormat/>
    <w:pPr>
      <w:keepNext/>
      <w:outlineLvl w:val="0"/>
    </w:pPr>
    <w:rPr>
      <w:b/>
    </w:rPr>
  </w:style>
  <w:style w:type="paragraph" w:styleId="Overskrift2">
    <w:name w:val="heading 2"/>
    <w:basedOn w:val="Normal"/>
    <w:next w:val="Normal"/>
    <w:qFormat/>
    <w:rsid w:val="00801F77"/>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character" w:styleId="Sidetal">
    <w:name w:val="page number"/>
    <w:basedOn w:val="Standardskrifttypeiafsnit"/>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pPr>
      <w:jc w:val="both"/>
    </w:pPr>
  </w:style>
  <w:style w:type="paragraph" w:customStyle="1" w:styleId="nederstskakt2">
    <w:name w:val="nederst skakt2"/>
    <w:basedOn w:val="nederstskakt"/>
    <w:pPr>
      <w:framePr w:wrap="around"/>
    </w:pPr>
    <w:rPr>
      <w:rFonts w:ascii="Arial" w:hAnsi="Arial"/>
    </w:rPr>
  </w:style>
  <w:style w:type="character" w:styleId="Hyperlink">
    <w:name w:val="Hyperlink"/>
    <w:rPr>
      <w:color w:val="0000FF"/>
      <w:u w:val="single"/>
    </w:rPr>
  </w:style>
  <w:style w:type="character" w:styleId="BesgtHyperlink">
    <w:name w:val="FollowedHyperlink"/>
    <w:rPr>
      <w:color w:val="800080"/>
      <w:u w:val="single"/>
    </w:rPr>
  </w:style>
  <w:style w:type="character" w:customStyle="1" w:styleId="skaktTegn">
    <w:name w:val="skakt Tegn"/>
    <w:link w:val="skakt"/>
    <w:rsid w:val="001E0F97"/>
    <w:rPr>
      <w:rFonts w:ascii="Arial" w:hAnsi="Arial"/>
      <w:sz w:val="15"/>
      <w:lang w:val="da-DK" w:eastAsia="da-DK" w:bidi="ar-SA"/>
    </w:rPr>
  </w:style>
  <w:style w:type="table" w:styleId="Tabel-Gitter">
    <w:name w:val="Table Grid"/>
    <w:basedOn w:val="Tabel-Normal"/>
    <w:rsid w:val="00EA4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semiHidden/>
    <w:rsid w:val="002324C8"/>
    <w:rPr>
      <w:sz w:val="16"/>
      <w:szCs w:val="16"/>
    </w:rPr>
  </w:style>
  <w:style w:type="paragraph" w:styleId="Kommentartekst">
    <w:name w:val="annotation text"/>
    <w:basedOn w:val="Normal"/>
    <w:link w:val="KommentartekstTegn"/>
    <w:semiHidden/>
    <w:rsid w:val="002324C8"/>
    <w:rPr>
      <w:sz w:val="20"/>
    </w:rPr>
  </w:style>
  <w:style w:type="paragraph" w:styleId="Kommentaremne">
    <w:name w:val="annotation subject"/>
    <w:basedOn w:val="Kommentartekst"/>
    <w:next w:val="Kommentartekst"/>
    <w:semiHidden/>
    <w:rsid w:val="002324C8"/>
    <w:rPr>
      <w:b/>
      <w:bCs/>
    </w:rPr>
  </w:style>
  <w:style w:type="paragraph" w:styleId="Markeringsbobletekst">
    <w:name w:val="Balloon Text"/>
    <w:basedOn w:val="Normal"/>
    <w:semiHidden/>
    <w:rsid w:val="002324C8"/>
    <w:rPr>
      <w:rFonts w:ascii="Tahoma" w:hAnsi="Tahoma" w:cs="Tahoma"/>
      <w:sz w:val="16"/>
      <w:szCs w:val="16"/>
    </w:rPr>
  </w:style>
  <w:style w:type="paragraph" w:styleId="Fodnotetekst">
    <w:name w:val="footnote text"/>
    <w:basedOn w:val="Normal"/>
    <w:semiHidden/>
    <w:rsid w:val="00807134"/>
    <w:rPr>
      <w:sz w:val="20"/>
    </w:rPr>
  </w:style>
  <w:style w:type="character" w:styleId="Fodnotehenvisning">
    <w:name w:val="footnote reference"/>
    <w:semiHidden/>
    <w:rsid w:val="00807134"/>
    <w:rPr>
      <w:vertAlign w:val="superscript"/>
    </w:rPr>
  </w:style>
  <w:style w:type="paragraph" w:customStyle="1" w:styleId="paragraf">
    <w:name w:val="paragraf"/>
    <w:basedOn w:val="Normal"/>
    <w:rsid w:val="000A4868"/>
    <w:pPr>
      <w:spacing w:before="200" w:line="240" w:lineRule="auto"/>
      <w:ind w:firstLine="240"/>
    </w:pPr>
    <w:rPr>
      <w:rFonts w:ascii="Tahoma" w:hAnsi="Tahoma" w:cs="Tahoma"/>
      <w:color w:val="000000"/>
      <w:szCs w:val="24"/>
    </w:rPr>
  </w:style>
  <w:style w:type="paragraph" w:customStyle="1" w:styleId="stk2">
    <w:name w:val="stk2"/>
    <w:basedOn w:val="Normal"/>
    <w:rsid w:val="000A4868"/>
    <w:pPr>
      <w:spacing w:line="240" w:lineRule="auto"/>
      <w:ind w:firstLine="240"/>
    </w:pPr>
    <w:rPr>
      <w:rFonts w:ascii="Tahoma" w:hAnsi="Tahoma" w:cs="Tahoma"/>
      <w:color w:val="000000"/>
      <w:szCs w:val="24"/>
    </w:rPr>
  </w:style>
  <w:style w:type="character" w:customStyle="1" w:styleId="paragrafnr1">
    <w:name w:val="paragrafnr1"/>
    <w:rsid w:val="000A4868"/>
    <w:rPr>
      <w:rFonts w:ascii="Tahoma" w:hAnsi="Tahoma" w:cs="Tahoma" w:hint="default"/>
      <w:b/>
      <w:bCs/>
      <w:color w:val="000000"/>
      <w:sz w:val="24"/>
      <w:szCs w:val="24"/>
      <w:shd w:val="clear" w:color="auto" w:fill="auto"/>
    </w:rPr>
  </w:style>
  <w:style w:type="character" w:customStyle="1" w:styleId="stknr1">
    <w:name w:val="stknr1"/>
    <w:rsid w:val="000A4868"/>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096BF8"/>
    <w:pPr>
      <w:ind w:left="720"/>
      <w:contextualSpacing/>
    </w:pPr>
  </w:style>
  <w:style w:type="paragraph" w:styleId="Korrektur">
    <w:name w:val="Revision"/>
    <w:hidden/>
    <w:uiPriority w:val="99"/>
    <w:semiHidden/>
    <w:rsid w:val="00BE2FAD"/>
    <w:rPr>
      <w:sz w:val="24"/>
    </w:rPr>
  </w:style>
  <w:style w:type="character" w:customStyle="1" w:styleId="KommentartekstTegn">
    <w:name w:val="Kommentartekst Tegn"/>
    <w:basedOn w:val="Standardskrifttypeiafsnit"/>
    <w:link w:val="Kommentartekst"/>
    <w:semiHidden/>
    <w:rsid w:val="00D15FC4"/>
  </w:style>
  <w:style w:type="paragraph" w:styleId="Slutnotetekst">
    <w:name w:val="endnote text"/>
    <w:basedOn w:val="Normal"/>
    <w:link w:val="SlutnotetekstTegn"/>
    <w:rsid w:val="00864B5D"/>
    <w:pPr>
      <w:spacing w:line="240" w:lineRule="auto"/>
    </w:pPr>
    <w:rPr>
      <w:sz w:val="20"/>
    </w:rPr>
  </w:style>
  <w:style w:type="character" w:customStyle="1" w:styleId="SlutnotetekstTegn">
    <w:name w:val="Slutnotetekst Tegn"/>
    <w:basedOn w:val="Standardskrifttypeiafsnit"/>
    <w:link w:val="Slutnotetekst"/>
    <w:rsid w:val="00864B5D"/>
  </w:style>
  <w:style w:type="character" w:styleId="Slutnotehenvisning">
    <w:name w:val="endnote reference"/>
    <w:basedOn w:val="Standardskrifttypeiafsnit"/>
    <w:rsid w:val="00864B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2607">
      <w:bodyDiv w:val="1"/>
      <w:marLeft w:val="0"/>
      <w:marRight w:val="0"/>
      <w:marTop w:val="0"/>
      <w:marBottom w:val="0"/>
      <w:divBdr>
        <w:top w:val="none" w:sz="0" w:space="0" w:color="auto"/>
        <w:left w:val="none" w:sz="0" w:space="0" w:color="auto"/>
        <w:bottom w:val="none" w:sz="0" w:space="0" w:color="auto"/>
        <w:right w:val="none" w:sz="0" w:space="0" w:color="auto"/>
      </w:divBdr>
    </w:div>
    <w:div w:id="282998493">
      <w:bodyDiv w:val="1"/>
      <w:marLeft w:val="0"/>
      <w:marRight w:val="0"/>
      <w:marTop w:val="0"/>
      <w:marBottom w:val="0"/>
      <w:divBdr>
        <w:top w:val="none" w:sz="0" w:space="0" w:color="auto"/>
        <w:left w:val="none" w:sz="0" w:space="0" w:color="auto"/>
        <w:bottom w:val="none" w:sz="0" w:space="0" w:color="auto"/>
        <w:right w:val="none" w:sz="0" w:space="0" w:color="auto"/>
      </w:divBdr>
    </w:div>
    <w:div w:id="483282505">
      <w:bodyDiv w:val="1"/>
      <w:marLeft w:val="0"/>
      <w:marRight w:val="0"/>
      <w:marTop w:val="0"/>
      <w:marBottom w:val="0"/>
      <w:divBdr>
        <w:top w:val="none" w:sz="0" w:space="0" w:color="auto"/>
        <w:left w:val="none" w:sz="0" w:space="0" w:color="auto"/>
        <w:bottom w:val="none" w:sz="0" w:space="0" w:color="auto"/>
        <w:right w:val="none" w:sz="0" w:space="0" w:color="auto"/>
      </w:divBdr>
    </w:div>
    <w:div w:id="523053691">
      <w:bodyDiv w:val="1"/>
      <w:marLeft w:val="0"/>
      <w:marRight w:val="0"/>
      <w:marTop w:val="0"/>
      <w:marBottom w:val="0"/>
      <w:divBdr>
        <w:top w:val="none" w:sz="0" w:space="0" w:color="auto"/>
        <w:left w:val="none" w:sz="0" w:space="0" w:color="auto"/>
        <w:bottom w:val="none" w:sz="0" w:space="0" w:color="auto"/>
        <w:right w:val="none" w:sz="0" w:space="0" w:color="auto"/>
      </w:divBdr>
    </w:div>
    <w:div w:id="531695439">
      <w:bodyDiv w:val="1"/>
      <w:marLeft w:val="0"/>
      <w:marRight w:val="0"/>
      <w:marTop w:val="0"/>
      <w:marBottom w:val="0"/>
      <w:divBdr>
        <w:top w:val="none" w:sz="0" w:space="0" w:color="auto"/>
        <w:left w:val="none" w:sz="0" w:space="0" w:color="auto"/>
        <w:bottom w:val="none" w:sz="0" w:space="0" w:color="auto"/>
        <w:right w:val="none" w:sz="0" w:space="0" w:color="auto"/>
      </w:divBdr>
    </w:div>
    <w:div w:id="632249420">
      <w:bodyDiv w:val="1"/>
      <w:marLeft w:val="0"/>
      <w:marRight w:val="0"/>
      <w:marTop w:val="0"/>
      <w:marBottom w:val="0"/>
      <w:divBdr>
        <w:top w:val="none" w:sz="0" w:space="0" w:color="auto"/>
        <w:left w:val="none" w:sz="0" w:space="0" w:color="auto"/>
        <w:bottom w:val="none" w:sz="0" w:space="0" w:color="auto"/>
        <w:right w:val="none" w:sz="0" w:space="0" w:color="auto"/>
      </w:divBdr>
    </w:div>
    <w:div w:id="651566132">
      <w:bodyDiv w:val="1"/>
      <w:marLeft w:val="0"/>
      <w:marRight w:val="0"/>
      <w:marTop w:val="0"/>
      <w:marBottom w:val="0"/>
      <w:divBdr>
        <w:top w:val="none" w:sz="0" w:space="0" w:color="auto"/>
        <w:left w:val="none" w:sz="0" w:space="0" w:color="auto"/>
        <w:bottom w:val="none" w:sz="0" w:space="0" w:color="auto"/>
        <w:right w:val="none" w:sz="0" w:space="0" w:color="auto"/>
      </w:divBdr>
    </w:div>
    <w:div w:id="661011927">
      <w:bodyDiv w:val="1"/>
      <w:marLeft w:val="0"/>
      <w:marRight w:val="0"/>
      <w:marTop w:val="0"/>
      <w:marBottom w:val="0"/>
      <w:divBdr>
        <w:top w:val="none" w:sz="0" w:space="0" w:color="auto"/>
        <w:left w:val="none" w:sz="0" w:space="0" w:color="auto"/>
        <w:bottom w:val="none" w:sz="0" w:space="0" w:color="auto"/>
        <w:right w:val="none" w:sz="0" w:space="0" w:color="auto"/>
      </w:divBdr>
    </w:div>
    <w:div w:id="705330729">
      <w:bodyDiv w:val="1"/>
      <w:marLeft w:val="0"/>
      <w:marRight w:val="0"/>
      <w:marTop w:val="0"/>
      <w:marBottom w:val="0"/>
      <w:divBdr>
        <w:top w:val="none" w:sz="0" w:space="0" w:color="auto"/>
        <w:left w:val="none" w:sz="0" w:space="0" w:color="auto"/>
        <w:bottom w:val="none" w:sz="0" w:space="0" w:color="auto"/>
        <w:right w:val="none" w:sz="0" w:space="0" w:color="auto"/>
      </w:divBdr>
    </w:div>
    <w:div w:id="877666164">
      <w:bodyDiv w:val="1"/>
      <w:marLeft w:val="0"/>
      <w:marRight w:val="0"/>
      <w:marTop w:val="0"/>
      <w:marBottom w:val="0"/>
      <w:divBdr>
        <w:top w:val="none" w:sz="0" w:space="0" w:color="auto"/>
        <w:left w:val="none" w:sz="0" w:space="0" w:color="auto"/>
        <w:bottom w:val="none" w:sz="0" w:space="0" w:color="auto"/>
        <w:right w:val="none" w:sz="0" w:space="0" w:color="auto"/>
      </w:divBdr>
    </w:div>
    <w:div w:id="895629522">
      <w:bodyDiv w:val="1"/>
      <w:marLeft w:val="0"/>
      <w:marRight w:val="0"/>
      <w:marTop w:val="0"/>
      <w:marBottom w:val="0"/>
      <w:divBdr>
        <w:top w:val="none" w:sz="0" w:space="0" w:color="auto"/>
        <w:left w:val="none" w:sz="0" w:space="0" w:color="auto"/>
        <w:bottom w:val="none" w:sz="0" w:space="0" w:color="auto"/>
        <w:right w:val="none" w:sz="0" w:space="0" w:color="auto"/>
      </w:divBdr>
    </w:div>
    <w:div w:id="944729302">
      <w:bodyDiv w:val="1"/>
      <w:marLeft w:val="0"/>
      <w:marRight w:val="0"/>
      <w:marTop w:val="0"/>
      <w:marBottom w:val="0"/>
      <w:divBdr>
        <w:top w:val="none" w:sz="0" w:space="0" w:color="auto"/>
        <w:left w:val="none" w:sz="0" w:space="0" w:color="auto"/>
        <w:bottom w:val="none" w:sz="0" w:space="0" w:color="auto"/>
        <w:right w:val="none" w:sz="0" w:space="0" w:color="auto"/>
      </w:divBdr>
    </w:div>
    <w:div w:id="1011294899">
      <w:bodyDiv w:val="1"/>
      <w:marLeft w:val="0"/>
      <w:marRight w:val="0"/>
      <w:marTop w:val="0"/>
      <w:marBottom w:val="0"/>
      <w:divBdr>
        <w:top w:val="none" w:sz="0" w:space="0" w:color="auto"/>
        <w:left w:val="none" w:sz="0" w:space="0" w:color="auto"/>
        <w:bottom w:val="none" w:sz="0" w:space="0" w:color="auto"/>
        <w:right w:val="none" w:sz="0" w:space="0" w:color="auto"/>
      </w:divBdr>
    </w:div>
    <w:div w:id="1403796192">
      <w:bodyDiv w:val="1"/>
      <w:marLeft w:val="0"/>
      <w:marRight w:val="0"/>
      <w:marTop w:val="0"/>
      <w:marBottom w:val="0"/>
      <w:divBdr>
        <w:top w:val="none" w:sz="0" w:space="0" w:color="auto"/>
        <w:left w:val="none" w:sz="0" w:space="0" w:color="auto"/>
        <w:bottom w:val="none" w:sz="0" w:space="0" w:color="auto"/>
        <w:right w:val="none" w:sz="0" w:space="0" w:color="auto"/>
      </w:divBdr>
    </w:div>
    <w:div w:id="1436973535">
      <w:bodyDiv w:val="1"/>
      <w:marLeft w:val="0"/>
      <w:marRight w:val="0"/>
      <w:marTop w:val="0"/>
      <w:marBottom w:val="0"/>
      <w:divBdr>
        <w:top w:val="none" w:sz="0" w:space="0" w:color="auto"/>
        <w:left w:val="none" w:sz="0" w:space="0" w:color="auto"/>
        <w:bottom w:val="none" w:sz="0" w:space="0" w:color="auto"/>
        <w:right w:val="none" w:sz="0" w:space="0" w:color="auto"/>
      </w:divBdr>
    </w:div>
    <w:div w:id="1590893057">
      <w:bodyDiv w:val="1"/>
      <w:marLeft w:val="0"/>
      <w:marRight w:val="0"/>
      <w:marTop w:val="0"/>
      <w:marBottom w:val="0"/>
      <w:divBdr>
        <w:top w:val="none" w:sz="0" w:space="0" w:color="auto"/>
        <w:left w:val="none" w:sz="0" w:space="0" w:color="auto"/>
        <w:bottom w:val="none" w:sz="0" w:space="0" w:color="auto"/>
        <w:right w:val="none" w:sz="0" w:space="0" w:color="auto"/>
      </w:divBdr>
    </w:div>
    <w:div w:id="1630165608">
      <w:bodyDiv w:val="1"/>
      <w:marLeft w:val="0"/>
      <w:marRight w:val="0"/>
      <w:marTop w:val="0"/>
      <w:marBottom w:val="0"/>
      <w:divBdr>
        <w:top w:val="none" w:sz="0" w:space="0" w:color="auto"/>
        <w:left w:val="none" w:sz="0" w:space="0" w:color="auto"/>
        <w:bottom w:val="none" w:sz="0" w:space="0" w:color="auto"/>
        <w:right w:val="none" w:sz="0" w:space="0" w:color="auto"/>
      </w:divBdr>
    </w:div>
    <w:div w:id="1635021632">
      <w:bodyDiv w:val="1"/>
      <w:marLeft w:val="0"/>
      <w:marRight w:val="0"/>
      <w:marTop w:val="0"/>
      <w:marBottom w:val="0"/>
      <w:divBdr>
        <w:top w:val="none" w:sz="0" w:space="0" w:color="auto"/>
        <w:left w:val="none" w:sz="0" w:space="0" w:color="auto"/>
        <w:bottom w:val="none" w:sz="0" w:space="0" w:color="auto"/>
        <w:right w:val="none" w:sz="0" w:space="0" w:color="auto"/>
      </w:divBdr>
    </w:div>
    <w:div w:id="1699234162">
      <w:bodyDiv w:val="1"/>
      <w:marLeft w:val="0"/>
      <w:marRight w:val="0"/>
      <w:marTop w:val="0"/>
      <w:marBottom w:val="0"/>
      <w:divBdr>
        <w:top w:val="none" w:sz="0" w:space="0" w:color="auto"/>
        <w:left w:val="none" w:sz="0" w:space="0" w:color="auto"/>
        <w:bottom w:val="none" w:sz="0" w:space="0" w:color="auto"/>
        <w:right w:val="none" w:sz="0" w:space="0" w:color="auto"/>
      </w:divBdr>
      <w:divsChild>
        <w:div w:id="416289889">
          <w:marLeft w:val="0"/>
          <w:marRight w:val="0"/>
          <w:marTop w:val="0"/>
          <w:marBottom w:val="300"/>
          <w:divBdr>
            <w:top w:val="none" w:sz="0" w:space="0" w:color="auto"/>
            <w:left w:val="none" w:sz="0" w:space="0" w:color="auto"/>
            <w:bottom w:val="none" w:sz="0" w:space="0" w:color="auto"/>
            <w:right w:val="none" w:sz="0" w:space="0" w:color="auto"/>
          </w:divBdr>
          <w:divsChild>
            <w:div w:id="386147374">
              <w:marLeft w:val="0"/>
              <w:marRight w:val="0"/>
              <w:marTop w:val="0"/>
              <w:marBottom w:val="0"/>
              <w:divBdr>
                <w:top w:val="none" w:sz="0" w:space="0" w:color="auto"/>
                <w:left w:val="single" w:sz="6" w:space="1" w:color="FFFFFF"/>
                <w:bottom w:val="none" w:sz="0" w:space="0" w:color="auto"/>
                <w:right w:val="single" w:sz="6" w:space="1" w:color="FFFFFF"/>
              </w:divBdr>
              <w:divsChild>
                <w:div w:id="310981913">
                  <w:marLeft w:val="0"/>
                  <w:marRight w:val="0"/>
                  <w:marTop w:val="0"/>
                  <w:marBottom w:val="0"/>
                  <w:divBdr>
                    <w:top w:val="none" w:sz="0" w:space="0" w:color="auto"/>
                    <w:left w:val="none" w:sz="0" w:space="0" w:color="auto"/>
                    <w:bottom w:val="none" w:sz="0" w:space="0" w:color="auto"/>
                    <w:right w:val="none" w:sz="0" w:space="0" w:color="auto"/>
                  </w:divBdr>
                  <w:divsChild>
                    <w:div w:id="419453038">
                      <w:marLeft w:val="0"/>
                      <w:marRight w:val="0"/>
                      <w:marTop w:val="0"/>
                      <w:marBottom w:val="0"/>
                      <w:divBdr>
                        <w:top w:val="none" w:sz="0" w:space="0" w:color="auto"/>
                        <w:left w:val="none" w:sz="0" w:space="0" w:color="auto"/>
                        <w:bottom w:val="none" w:sz="0" w:space="0" w:color="auto"/>
                        <w:right w:val="none" w:sz="0" w:space="0" w:color="auto"/>
                      </w:divBdr>
                      <w:divsChild>
                        <w:div w:id="287664803">
                          <w:marLeft w:val="0"/>
                          <w:marRight w:val="0"/>
                          <w:marTop w:val="0"/>
                          <w:marBottom w:val="0"/>
                          <w:divBdr>
                            <w:top w:val="none" w:sz="0" w:space="0" w:color="auto"/>
                            <w:left w:val="none" w:sz="0" w:space="0" w:color="auto"/>
                            <w:bottom w:val="none" w:sz="0" w:space="0" w:color="auto"/>
                            <w:right w:val="none" w:sz="0" w:space="0" w:color="auto"/>
                          </w:divBdr>
                          <w:divsChild>
                            <w:div w:id="183832918">
                              <w:marLeft w:val="0"/>
                              <w:marRight w:val="0"/>
                              <w:marTop w:val="0"/>
                              <w:marBottom w:val="0"/>
                              <w:divBdr>
                                <w:top w:val="none" w:sz="0" w:space="0" w:color="auto"/>
                                <w:left w:val="none" w:sz="0" w:space="0" w:color="auto"/>
                                <w:bottom w:val="none" w:sz="0" w:space="0" w:color="auto"/>
                                <w:right w:val="none" w:sz="0" w:space="0" w:color="auto"/>
                              </w:divBdr>
                              <w:divsChild>
                                <w:div w:id="554312433">
                                  <w:marLeft w:val="0"/>
                                  <w:marRight w:val="0"/>
                                  <w:marTop w:val="0"/>
                                  <w:marBottom w:val="0"/>
                                  <w:divBdr>
                                    <w:top w:val="none" w:sz="0" w:space="0" w:color="auto"/>
                                    <w:left w:val="none" w:sz="0" w:space="0" w:color="auto"/>
                                    <w:bottom w:val="none" w:sz="0" w:space="0" w:color="auto"/>
                                    <w:right w:val="none" w:sz="0" w:space="0" w:color="auto"/>
                                  </w:divBdr>
                                  <w:divsChild>
                                    <w:div w:id="20413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4879">
      <w:bodyDiv w:val="1"/>
      <w:marLeft w:val="0"/>
      <w:marRight w:val="0"/>
      <w:marTop w:val="0"/>
      <w:marBottom w:val="0"/>
      <w:divBdr>
        <w:top w:val="none" w:sz="0" w:space="0" w:color="auto"/>
        <w:left w:val="none" w:sz="0" w:space="0" w:color="auto"/>
        <w:bottom w:val="none" w:sz="0" w:space="0" w:color="auto"/>
        <w:right w:val="none" w:sz="0" w:space="0" w:color="auto"/>
      </w:divBdr>
    </w:div>
    <w:div w:id="1752000656">
      <w:bodyDiv w:val="1"/>
      <w:marLeft w:val="0"/>
      <w:marRight w:val="0"/>
      <w:marTop w:val="0"/>
      <w:marBottom w:val="0"/>
      <w:divBdr>
        <w:top w:val="none" w:sz="0" w:space="0" w:color="auto"/>
        <w:left w:val="none" w:sz="0" w:space="0" w:color="auto"/>
        <w:bottom w:val="none" w:sz="0" w:space="0" w:color="auto"/>
        <w:right w:val="none" w:sz="0" w:space="0" w:color="auto"/>
      </w:divBdr>
    </w:div>
    <w:div w:id="1994529083">
      <w:bodyDiv w:val="1"/>
      <w:marLeft w:val="0"/>
      <w:marRight w:val="0"/>
      <w:marTop w:val="0"/>
      <w:marBottom w:val="0"/>
      <w:divBdr>
        <w:top w:val="none" w:sz="0" w:space="0" w:color="auto"/>
        <w:left w:val="none" w:sz="0" w:space="0" w:color="auto"/>
        <w:bottom w:val="none" w:sz="0" w:space="0" w:color="auto"/>
        <w:right w:val="none" w:sz="0" w:space="0" w:color="auto"/>
      </w:divBdr>
      <w:divsChild>
        <w:div w:id="1473670365">
          <w:marLeft w:val="0"/>
          <w:marRight w:val="0"/>
          <w:marTop w:val="0"/>
          <w:marBottom w:val="300"/>
          <w:divBdr>
            <w:top w:val="none" w:sz="0" w:space="0" w:color="auto"/>
            <w:left w:val="none" w:sz="0" w:space="0" w:color="auto"/>
            <w:bottom w:val="none" w:sz="0" w:space="0" w:color="auto"/>
            <w:right w:val="none" w:sz="0" w:space="0" w:color="auto"/>
          </w:divBdr>
          <w:divsChild>
            <w:div w:id="2070689278">
              <w:marLeft w:val="0"/>
              <w:marRight w:val="0"/>
              <w:marTop w:val="0"/>
              <w:marBottom w:val="0"/>
              <w:divBdr>
                <w:top w:val="none" w:sz="0" w:space="0" w:color="auto"/>
                <w:left w:val="single" w:sz="6" w:space="1" w:color="FFFFFF"/>
                <w:bottom w:val="none" w:sz="0" w:space="0" w:color="auto"/>
                <w:right w:val="single" w:sz="6" w:space="1" w:color="FFFFFF"/>
              </w:divBdr>
              <w:divsChild>
                <w:div w:id="272831859">
                  <w:marLeft w:val="0"/>
                  <w:marRight w:val="0"/>
                  <w:marTop w:val="0"/>
                  <w:marBottom w:val="0"/>
                  <w:divBdr>
                    <w:top w:val="none" w:sz="0" w:space="0" w:color="auto"/>
                    <w:left w:val="none" w:sz="0" w:space="0" w:color="auto"/>
                    <w:bottom w:val="none" w:sz="0" w:space="0" w:color="auto"/>
                    <w:right w:val="none" w:sz="0" w:space="0" w:color="auto"/>
                  </w:divBdr>
                  <w:divsChild>
                    <w:div w:id="1189683516">
                      <w:marLeft w:val="0"/>
                      <w:marRight w:val="0"/>
                      <w:marTop w:val="0"/>
                      <w:marBottom w:val="0"/>
                      <w:divBdr>
                        <w:top w:val="none" w:sz="0" w:space="0" w:color="auto"/>
                        <w:left w:val="none" w:sz="0" w:space="0" w:color="auto"/>
                        <w:bottom w:val="none" w:sz="0" w:space="0" w:color="auto"/>
                        <w:right w:val="none" w:sz="0" w:space="0" w:color="auto"/>
                      </w:divBdr>
                      <w:divsChild>
                        <w:div w:id="1611084595">
                          <w:marLeft w:val="0"/>
                          <w:marRight w:val="0"/>
                          <w:marTop w:val="0"/>
                          <w:marBottom w:val="0"/>
                          <w:divBdr>
                            <w:top w:val="none" w:sz="0" w:space="0" w:color="auto"/>
                            <w:left w:val="none" w:sz="0" w:space="0" w:color="auto"/>
                            <w:bottom w:val="none" w:sz="0" w:space="0" w:color="auto"/>
                            <w:right w:val="none" w:sz="0" w:space="0" w:color="auto"/>
                          </w:divBdr>
                          <w:divsChild>
                            <w:div w:id="2017730244">
                              <w:marLeft w:val="0"/>
                              <w:marRight w:val="0"/>
                              <w:marTop w:val="0"/>
                              <w:marBottom w:val="0"/>
                              <w:divBdr>
                                <w:top w:val="none" w:sz="0" w:space="0" w:color="auto"/>
                                <w:left w:val="none" w:sz="0" w:space="0" w:color="auto"/>
                                <w:bottom w:val="none" w:sz="0" w:space="0" w:color="auto"/>
                                <w:right w:val="none" w:sz="0" w:space="0" w:color="auto"/>
                              </w:divBdr>
                              <w:divsChild>
                                <w:div w:id="991446037">
                                  <w:marLeft w:val="0"/>
                                  <w:marRight w:val="0"/>
                                  <w:marTop w:val="0"/>
                                  <w:marBottom w:val="0"/>
                                  <w:divBdr>
                                    <w:top w:val="none" w:sz="0" w:space="0" w:color="auto"/>
                                    <w:left w:val="none" w:sz="0" w:space="0" w:color="auto"/>
                                    <w:bottom w:val="none" w:sz="0" w:space="0" w:color="auto"/>
                                    <w:right w:val="none" w:sz="0" w:space="0" w:color="auto"/>
                                  </w:divBdr>
                                  <w:divsChild>
                                    <w:div w:id="5066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270390">
      <w:bodyDiv w:val="1"/>
      <w:marLeft w:val="0"/>
      <w:marRight w:val="0"/>
      <w:marTop w:val="0"/>
      <w:marBottom w:val="0"/>
      <w:divBdr>
        <w:top w:val="none" w:sz="0" w:space="0" w:color="auto"/>
        <w:left w:val="none" w:sz="0" w:space="0" w:color="auto"/>
        <w:bottom w:val="none" w:sz="0" w:space="0" w:color="auto"/>
        <w:right w:val="none" w:sz="0" w:space="0" w:color="auto"/>
      </w:divBdr>
    </w:div>
    <w:div w:id="211871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kfst.dk/Vandtilsyn/Benchmarking/Benchmarking-2015" TargetMode="External"/><Relationship Id="rId2" Type="http://schemas.openxmlformats.org/officeDocument/2006/relationships/hyperlink" Target="http://www.kfst.dk/Vandtilsyn/Benchmarking/Benchmarking-2015" TargetMode="External"/><Relationship Id="rId1" Type="http://schemas.openxmlformats.org/officeDocument/2006/relationships/hyperlink" Target="http://www.kfst.dk/Vandtilsyn/Benchmarking/Benchmarking-2015" TargetMode="External"/><Relationship Id="rId5" Type="http://schemas.openxmlformats.org/officeDocument/2006/relationships/hyperlink" Target="file:///\\ks-data.ks.net\brugere\Center%20for%20Vand\Sagsbehandling\Prisloft\Drikkevand\Andelsselskabet%20Gram%20Vandv&#230;rk\PL2015\Forsyningssekretariatets%20vejledning%20om%20prisloft%202015" TargetMode="External"/><Relationship Id="rId4" Type="http://schemas.openxmlformats.org/officeDocument/2006/relationships/hyperlink" Target="http://www.kfst.dk/Vandtilsyn/Benchmarking/Benchmarking-201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540F1-65FF-4A8E-B426-8A0D0EDB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3DE1DD60.dotm</Template>
  <TotalTime>17</TotalTime>
  <Pages>13</Pages>
  <Words>3440</Words>
  <Characters>22333</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Brev fra Konkurrencestyrelsen</vt:lpstr>
    </vt:vector>
  </TitlesOfParts>
  <Company>Statens IT</Company>
  <LinksUpToDate>false</LinksUpToDate>
  <CharactersWithSpaces>25722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fra Konkurrencestyrelsen</dc:title>
  <dc:creator>Christian M. Meyer (KFST)</dc:creator>
  <cp:lastModifiedBy>Kirstine Sewohl (KFST)</cp:lastModifiedBy>
  <cp:revision>5</cp:revision>
  <cp:lastPrinted>2014-10-03T09:25:00Z</cp:lastPrinted>
  <dcterms:created xsi:type="dcterms:W3CDTF">2014-09-26T09:00:00Z</dcterms:created>
  <dcterms:modified xsi:type="dcterms:W3CDTF">2014-10-03T09:26:00Z</dcterms:modified>
</cp:coreProperties>
</file>